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61DC3" w14:textId="77777777" w:rsidR="00B35753" w:rsidRDefault="00000000">
      <w:pPr>
        <w:spacing w:after="20"/>
      </w:pPr>
      <w:r>
        <w:rPr>
          <w:b/>
          <w:bCs/>
          <w:color w:val="1B263B"/>
          <w:sz w:val="44"/>
          <w:szCs w:val="44"/>
        </w:rPr>
        <w:t>FOLIENDOCK</w:t>
      </w:r>
    </w:p>
    <w:p w14:paraId="0DA09E9B" w14:textId="77777777" w:rsidR="00B35753" w:rsidRDefault="00000000">
      <w:pPr>
        <w:spacing w:after="300"/>
      </w:pPr>
      <w:r>
        <w:rPr>
          <w:b/>
          <w:bCs/>
          <w:color w:val="B8860B"/>
          <w:sz w:val="18"/>
          <w:szCs w:val="18"/>
        </w:rPr>
        <w:t>HITZESCHUTZ · OBJEKTFOLIERUNG · HAMBURG</w:t>
      </w:r>
    </w:p>
    <w:p w14:paraId="65F14ED6" w14:textId="77777777" w:rsidR="00B35753" w:rsidRDefault="00000000">
      <w:pPr>
        <w:spacing w:after="80"/>
      </w:pPr>
      <w:r>
        <w:rPr>
          <w:b/>
          <w:bCs/>
          <w:color w:val="1B263B"/>
          <w:sz w:val="40"/>
          <w:szCs w:val="40"/>
        </w:rPr>
        <w:t>Ausschreibungs- &amp; LV-Texte für Objektfolierung</w:t>
      </w:r>
    </w:p>
    <w:p w14:paraId="756A6039" w14:textId="77777777" w:rsidR="00B35753" w:rsidRDefault="00000000">
      <w:pPr>
        <w:spacing w:after="240"/>
      </w:pPr>
      <w:r>
        <w:rPr>
          <w:color w:val="555555"/>
          <w:sz w:val="24"/>
          <w:szCs w:val="24"/>
        </w:rPr>
        <w:t>Kopierfertige Leistungsverzeichnis-Positionen für Architekten, Fachplaner, Facility Management und Einkauf</w:t>
      </w:r>
    </w:p>
    <w:tbl>
      <w:tblPr>
        <w:tblW w:w="5000" w:type="pct"/>
        <w:tblBorders>
          <w:top w:val="single" w:sz="4" w:space="0" w:color="D4AF37"/>
          <w:left w:val="single" w:sz="18" w:space="0" w:color="D4AF37"/>
          <w:bottom w:val="single" w:sz="4" w:space="0" w:color="D4AF37"/>
          <w:right w:val="single" w:sz="4" w:space="0" w:color="D4AF37"/>
        </w:tblBorders>
        <w:tblCellMar>
          <w:left w:w="10" w:type="dxa"/>
          <w:right w:w="10" w:type="dxa"/>
        </w:tblCellMar>
        <w:tblLook w:val="04A0" w:firstRow="1" w:lastRow="0" w:firstColumn="1" w:lastColumn="0" w:noHBand="0" w:noVBand="1"/>
      </w:tblPr>
      <w:tblGrid>
        <w:gridCol w:w="9678"/>
      </w:tblGrid>
      <w:tr w:rsidR="00B35753" w14:paraId="7E573937" w14:textId="77777777">
        <w:tblPrEx>
          <w:tblCellMar>
            <w:top w:w="0" w:type="dxa"/>
            <w:bottom w:w="0" w:type="dxa"/>
          </w:tblCellMar>
        </w:tblPrEx>
        <w:tc>
          <w:tcPr>
            <w:tcW w:w="0" w:type="auto"/>
            <w:shd w:val="clear" w:color="auto" w:fill="F2F4F7"/>
            <w:tcMar>
              <w:top w:w="120" w:type="dxa"/>
              <w:left w:w="180" w:type="dxa"/>
              <w:bottom w:w="120" w:type="dxa"/>
              <w:right w:w="180" w:type="dxa"/>
            </w:tcMar>
          </w:tcPr>
          <w:p w14:paraId="0CFA6DE9" w14:textId="77777777" w:rsidR="00B35753" w:rsidRDefault="00000000">
            <w:pPr>
              <w:spacing w:after="120" w:line="264" w:lineRule="auto"/>
            </w:pPr>
            <w:r>
              <w:rPr>
                <w:b/>
                <w:bCs/>
                <w:color w:val="1B263B"/>
                <w:sz w:val="21"/>
                <w:szCs w:val="21"/>
              </w:rPr>
              <w:t xml:space="preserve">Für Planer, die es genau nehmen. </w:t>
            </w:r>
            <w:r>
              <w:rPr>
                <w:sz w:val="21"/>
                <w:szCs w:val="21"/>
              </w:rPr>
              <w:t xml:space="preserve">Die folgenden Positionen sind nach klassischer LV-Systematik (Kurztext / Langtext / technische Mindestanforderung / Leitfabrikat) formuliert und lassen sich direkt in Ihr Leistungsverzeichnis übernehmen. Sämtliche technischen Kennwerte sind nach </w:t>
            </w:r>
            <w:r>
              <w:rPr>
                <w:b/>
                <w:bCs/>
                <w:sz w:val="21"/>
                <w:szCs w:val="21"/>
              </w:rPr>
              <w:t>DIN EN 410 und ISO 9050</w:t>
            </w:r>
            <w:r>
              <w:rPr>
                <w:sz w:val="21"/>
                <w:szCs w:val="21"/>
              </w:rPr>
              <w:t xml:space="preserve"> geprüft und über Datenblätter der FolienDock GmbH nachweisbar.</w:t>
            </w:r>
          </w:p>
        </w:tc>
      </w:tr>
    </w:tbl>
    <w:p w14:paraId="733AEE4F" w14:textId="77777777" w:rsidR="00B35753" w:rsidRDefault="00B35753">
      <w:pPr>
        <w:spacing w:after="160"/>
      </w:pPr>
    </w:p>
    <w:p w14:paraId="36D54C4E" w14:textId="77777777" w:rsidR="00B35753" w:rsidRDefault="00000000">
      <w:pPr>
        <w:spacing w:after="40"/>
      </w:pPr>
      <w:r>
        <w:rPr>
          <w:b/>
          <w:bCs/>
          <w:color w:val="1B263B"/>
        </w:rPr>
        <w:t>FolienDock</w:t>
      </w:r>
      <w:r>
        <w:rPr>
          <w:color w:val="555555"/>
        </w:rPr>
        <w:t xml:space="preserve">  ·  Weißenseer Weg 1 · 21465 Reinbek  ·  Tel. 040 6463 2812  ·  moin@foliendock.de  ·  www.foliendock.de</w:t>
      </w:r>
    </w:p>
    <w:p w14:paraId="2FDD0CB3" w14:textId="77777777" w:rsidR="00B35753" w:rsidRDefault="00000000">
      <w:r>
        <w:rPr>
          <w:i/>
          <w:iCs/>
          <w:color w:val="555555"/>
          <w:sz w:val="17"/>
          <w:szCs w:val="17"/>
        </w:rPr>
        <w:t>Stand: Juli 2026 · Rev. 01 · Technische Werte gem. Datenblättern Rev. 02/2026</w:t>
      </w:r>
    </w:p>
    <w:p w14:paraId="4E3D09FD" w14:textId="77777777" w:rsidR="00B35753" w:rsidRDefault="00000000">
      <w:r>
        <w:br w:type="page"/>
      </w:r>
    </w:p>
    <w:p w14:paraId="16B51C62" w14:textId="77777777" w:rsidR="00B35753" w:rsidRDefault="00000000">
      <w:pPr>
        <w:spacing w:before="120" w:after="80"/>
      </w:pPr>
      <w:r>
        <w:rPr>
          <w:b/>
          <w:bCs/>
          <w:color w:val="1B263B"/>
          <w:sz w:val="34"/>
          <w:szCs w:val="34"/>
        </w:rPr>
        <w:lastRenderedPageBreak/>
        <w:t>So nutzen Sie diese Vorlage</w:t>
      </w:r>
    </w:p>
    <w:p w14:paraId="3D0E9D8A" w14:textId="77777777" w:rsidR="00B35753" w:rsidRDefault="00000000">
      <w:pPr>
        <w:spacing w:after="120" w:line="264" w:lineRule="auto"/>
      </w:pPr>
      <w:r>
        <w:rPr>
          <w:color w:val="222222"/>
          <w:sz w:val="21"/>
          <w:szCs w:val="21"/>
        </w:rPr>
        <w:t>Diese Vorlage enthält drei einbaufertige LV-Blöcke — Sonnen-/Hitzeschutz (KutterDock), UV-/Objektschutz (BernsteinDock) und Splitter-/Sicherheitsschutz (AnkerDock). Jeder Block besteht aus einer Vorbemerkung, den Positionstexten mit Kurz- und Langtext sowie einem Feld für Menge, Einheits- und Gesamtpreis. Die technischen Mindestanforderungen sind so gefasst, dass sie messbar, prüfbar und eindeutig nachweisbar sind — die Grundlage für einen fairen und rechtssicheren Wettbewerb.</w:t>
      </w:r>
    </w:p>
    <w:p w14:paraId="74BE8AFA" w14:textId="77777777" w:rsidR="00B35753" w:rsidRDefault="00000000">
      <w:pPr>
        <w:spacing w:before="200" w:after="80"/>
      </w:pPr>
      <w:r>
        <w:rPr>
          <w:b/>
          <w:bCs/>
          <w:color w:val="1B263B"/>
          <w:sz w:val="22"/>
          <w:szCs w:val="22"/>
        </w:rPr>
        <w:t>Zwei Ausschreibungswege — bitte bewusst wählen</w:t>
      </w:r>
    </w:p>
    <w:tbl>
      <w:tblPr>
        <w:tblW w:w="5000" w:type="pct"/>
        <w:tblBorders>
          <w:top w:val="single" w:sz="4" w:space="0" w:color="D4AF37"/>
          <w:left w:val="single" w:sz="18" w:space="0" w:color="D4AF37"/>
          <w:bottom w:val="single" w:sz="4" w:space="0" w:color="D4AF37"/>
          <w:right w:val="single" w:sz="4" w:space="0" w:color="D4AF37"/>
        </w:tblBorders>
        <w:tblCellMar>
          <w:left w:w="10" w:type="dxa"/>
          <w:right w:w="10" w:type="dxa"/>
        </w:tblCellMar>
        <w:tblLook w:val="04A0" w:firstRow="1" w:lastRow="0" w:firstColumn="1" w:lastColumn="0" w:noHBand="0" w:noVBand="1"/>
      </w:tblPr>
      <w:tblGrid>
        <w:gridCol w:w="9678"/>
      </w:tblGrid>
      <w:tr w:rsidR="00B35753" w14:paraId="5A265F3E" w14:textId="77777777">
        <w:tblPrEx>
          <w:tblCellMar>
            <w:top w:w="0" w:type="dxa"/>
            <w:bottom w:w="0" w:type="dxa"/>
          </w:tblCellMar>
        </w:tblPrEx>
        <w:tc>
          <w:tcPr>
            <w:tcW w:w="0" w:type="auto"/>
            <w:shd w:val="clear" w:color="auto" w:fill="FBF6E7"/>
            <w:tcMar>
              <w:top w:w="120" w:type="dxa"/>
              <w:left w:w="180" w:type="dxa"/>
              <w:bottom w:w="120" w:type="dxa"/>
              <w:right w:w="180" w:type="dxa"/>
            </w:tcMar>
          </w:tcPr>
          <w:p w14:paraId="4CE67C79" w14:textId="77777777" w:rsidR="00B35753" w:rsidRDefault="00000000">
            <w:pPr>
              <w:spacing w:after="120" w:line="264" w:lineRule="auto"/>
            </w:pPr>
            <w:r>
              <w:rPr>
                <w:b/>
                <w:bCs/>
                <w:color w:val="1B263B"/>
                <w:sz w:val="21"/>
                <w:szCs w:val="21"/>
              </w:rPr>
              <w:t xml:space="preserve">Öffentliche Ausschreibung (produktneutral). </w:t>
            </w:r>
            <w:r>
              <w:rPr>
                <w:sz w:val="21"/>
                <w:szCs w:val="21"/>
              </w:rPr>
              <w:t xml:space="preserve">Nach § 7 EU VOB/A bzw. § 31 VgV ist grundsätzlich produktneutral auszuschreiben. Verwenden Sie hier die technischen Mindestanforderungen und ergänzen Sie das Leitfabrikat ausdrücklich mit dem Zusatz </w:t>
            </w:r>
            <w:r>
              <w:rPr>
                <w:b/>
                <w:bCs/>
                <w:sz w:val="21"/>
                <w:szCs w:val="21"/>
              </w:rPr>
              <w:t>„oder gleichwertig".</w:t>
            </w:r>
            <w:r>
              <w:rPr>
                <w:sz w:val="21"/>
                <w:szCs w:val="21"/>
              </w:rPr>
              <w:t xml:space="preserve"> Gleichwertigkeit muss der Bieter über einen Prüfbericht nach DIN EN 410 / ISO 9050 und die geforderten Eignungsnachweise belegen.</w:t>
            </w:r>
          </w:p>
          <w:p w14:paraId="41421E46" w14:textId="77777777" w:rsidR="00B35753" w:rsidRDefault="00B35753">
            <w:pPr>
              <w:spacing w:after="40"/>
            </w:pPr>
          </w:p>
          <w:p w14:paraId="209047FC" w14:textId="77777777" w:rsidR="00B35753" w:rsidRDefault="00000000">
            <w:pPr>
              <w:spacing w:after="120" w:line="264" w:lineRule="auto"/>
            </w:pPr>
            <w:r>
              <w:rPr>
                <w:b/>
                <w:bCs/>
                <w:color w:val="1B263B"/>
                <w:sz w:val="21"/>
                <w:szCs w:val="21"/>
              </w:rPr>
              <w:t xml:space="preserve">Private Vergabe (Architekt, Hausverwaltung, Objekteigentümer). </w:t>
            </w:r>
            <w:r>
              <w:rPr>
                <w:sz w:val="21"/>
                <w:szCs w:val="21"/>
              </w:rPr>
              <w:t>Hier dürfen Sie ein Produkt konkret benennen und beauftragen. Der Zusatz „oder gleichwertig" ist rechtlich nicht erforderlich.</w:t>
            </w:r>
          </w:p>
        </w:tc>
      </w:tr>
    </w:tbl>
    <w:p w14:paraId="0D20BF6B" w14:textId="77777777" w:rsidR="00B35753" w:rsidRDefault="00000000">
      <w:pPr>
        <w:spacing w:before="80" w:after="60"/>
      </w:pPr>
      <w:r>
        <w:rPr>
          <w:i/>
          <w:iCs/>
          <w:color w:val="555555"/>
          <w:sz w:val="18"/>
          <w:szCs w:val="18"/>
        </w:rPr>
        <w:t>Rechtlicher Hinweis: Diese Vorlage ist eine fachliche Formulierungshilfe und ersetzt im Einzelfall keine vergaberechtliche Prüfung. FolienDock ist kein Rechtsberater; bei öffentlichen Verfahren empfehlen wir die Abstimmung mit Ihrer Vergabestelle.</w:t>
      </w:r>
    </w:p>
    <w:p w14:paraId="3C5C22F2" w14:textId="77777777" w:rsidR="00B35753" w:rsidRDefault="00000000">
      <w:pPr>
        <w:spacing w:before="200" w:after="80"/>
      </w:pPr>
      <w:r>
        <w:rPr>
          <w:b/>
          <w:bCs/>
          <w:color w:val="1B263B"/>
          <w:sz w:val="22"/>
          <w:szCs w:val="22"/>
        </w:rPr>
        <w:t>Warum präzise Anforderungen für Sie arbeiten</w:t>
      </w:r>
    </w:p>
    <w:p w14:paraId="35B564CC" w14:textId="77777777" w:rsidR="00B35753" w:rsidRDefault="00000000">
      <w:pPr>
        <w:spacing w:after="120" w:line="264" w:lineRule="auto"/>
      </w:pPr>
      <w:r>
        <w:rPr>
          <w:color w:val="222222"/>
          <w:sz w:val="21"/>
          <w:szCs w:val="21"/>
        </w:rPr>
        <w:t>Je konkreter die geforderten Kennwerte und Eignungsnachweise, desto weniger vergleichbar werden Billiganbieter mit undokumentierter Ware. Wer einen echten Prüfbericht nach DIN EN 410, eine Splitterschutz-Klasse nach DIN EN 356, geschulte eigene Montageteams und belastbare Referenzen vorlegen kann, erfüllt die Position — wer nur „Sonnenschutzfolie" liefert, fällt bei der Wertung durch. Das schützt Ihr Objekt und hält die Angebote sauber vergleichbar.</w:t>
      </w:r>
    </w:p>
    <w:p w14:paraId="0AE8B982" w14:textId="77777777" w:rsidR="00B35753" w:rsidRDefault="00000000">
      <w:r>
        <w:br w:type="page"/>
      </w:r>
    </w:p>
    <w:p w14:paraId="1D216A13" w14:textId="77777777" w:rsidR="00B35753" w:rsidRDefault="00000000">
      <w:pPr>
        <w:pBdr>
          <w:bottom w:val="single" w:sz="8" w:space="6" w:color="D4AF37"/>
        </w:pBdr>
        <w:spacing w:before="300" w:after="100"/>
      </w:pPr>
      <w:r>
        <w:rPr>
          <w:b/>
          <w:bCs/>
          <w:color w:val="B8860B"/>
          <w:sz w:val="26"/>
          <w:szCs w:val="26"/>
        </w:rPr>
        <w:lastRenderedPageBreak/>
        <w:t xml:space="preserve">LV-Block A  </w:t>
      </w:r>
      <w:r>
        <w:rPr>
          <w:b/>
          <w:bCs/>
          <w:color w:val="1B263B"/>
          <w:sz w:val="26"/>
          <w:szCs w:val="26"/>
        </w:rPr>
        <w:t>Sonnen- &amp; Hitzeschutzfolie, außenliegend, hochreflektierend</w:t>
      </w:r>
    </w:p>
    <w:p w14:paraId="25EF1712" w14:textId="77777777" w:rsidR="00B35753" w:rsidRDefault="00000000">
      <w:pPr>
        <w:spacing w:after="120" w:line="264" w:lineRule="auto"/>
      </w:pPr>
      <w:r>
        <w:rPr>
          <w:color w:val="222222"/>
          <w:sz w:val="21"/>
          <w:szCs w:val="21"/>
        </w:rPr>
        <w:t>Leistungsbereich: Sommerlicher Wärmeschutz / Blendschutz an süd- und westexponierten Glasflächen im laufenden Betrieb, ohne bauliche Eingriffe und ohne Austausch der Verglasung.</w:t>
      </w:r>
    </w:p>
    <w:p w14:paraId="6054E1E8" w14:textId="77777777" w:rsidR="00B35753" w:rsidRDefault="00000000">
      <w:pPr>
        <w:spacing w:before="200" w:after="80"/>
      </w:pPr>
      <w:r>
        <w:rPr>
          <w:b/>
          <w:bCs/>
          <w:color w:val="1B263B"/>
          <w:sz w:val="22"/>
          <w:szCs w:val="22"/>
        </w:rPr>
        <w:t>A.0  Vorbemerkung zum Titel</w:t>
      </w:r>
    </w:p>
    <w:tbl>
      <w:tblPr>
        <w:tblW w:w="5000" w:type="pct"/>
        <w:tblBorders>
          <w:top w:val="single" w:sz="4" w:space="0" w:color="D4AF37"/>
          <w:left w:val="single" w:sz="18" w:space="0" w:color="D4AF37"/>
          <w:bottom w:val="single" w:sz="4" w:space="0" w:color="D4AF37"/>
          <w:right w:val="single" w:sz="4" w:space="0" w:color="D4AF37"/>
        </w:tblBorders>
        <w:tblCellMar>
          <w:left w:w="10" w:type="dxa"/>
          <w:right w:w="10" w:type="dxa"/>
        </w:tblCellMar>
        <w:tblLook w:val="04A0" w:firstRow="1" w:lastRow="0" w:firstColumn="1" w:lastColumn="0" w:noHBand="0" w:noVBand="1"/>
      </w:tblPr>
      <w:tblGrid>
        <w:gridCol w:w="9678"/>
      </w:tblGrid>
      <w:tr w:rsidR="00B35753" w14:paraId="3B9BA304" w14:textId="77777777">
        <w:tblPrEx>
          <w:tblCellMar>
            <w:top w:w="0" w:type="dxa"/>
            <w:bottom w:w="0" w:type="dxa"/>
          </w:tblCellMar>
        </w:tblPrEx>
        <w:tc>
          <w:tcPr>
            <w:tcW w:w="0" w:type="auto"/>
            <w:shd w:val="clear" w:color="auto" w:fill="F2F4F7"/>
            <w:tcMar>
              <w:top w:w="120" w:type="dxa"/>
              <w:left w:w="180" w:type="dxa"/>
              <w:bottom w:w="120" w:type="dxa"/>
              <w:right w:w="180" w:type="dxa"/>
            </w:tcMar>
          </w:tcPr>
          <w:p w14:paraId="336B6F5A" w14:textId="77777777" w:rsidR="00B35753" w:rsidRDefault="00000000">
            <w:pPr>
              <w:spacing w:after="120" w:line="264" w:lineRule="auto"/>
            </w:pPr>
            <w:r>
              <w:rPr>
                <w:sz w:val="21"/>
                <w:szCs w:val="21"/>
              </w:rPr>
              <w:t>Zu liefern und fachgerecht zu applizieren ist eine außenliegende, metallisierte Mehrlagen-Sonnenschutzfolie auf die vorhandene Bestandsverglasung. Die Folie reflektiert die Sonnenenergie vor Eintritt in das Glas und ist für den nachträglichen Einbau im bewohnten bzw. genutzten Objekt geeignet (Montage im laufenden Betrieb, keine Raffstore- oder Fassadenarbeiten erforderlich). Alle Kennwerte sind über einen Prüfbericht nach DIN EN 410 / ISO 9050 nachzuweisen.</w:t>
            </w:r>
          </w:p>
        </w:tc>
      </w:tr>
    </w:tbl>
    <w:p w14:paraId="5CC9A9B1" w14:textId="77777777" w:rsidR="00B35753" w:rsidRDefault="00B35753">
      <w:pPr>
        <w:spacing w:after="100"/>
      </w:pPr>
    </w:p>
    <w:tbl>
      <w:tblPr>
        <w:tblW w:w="5000" w:type="pct"/>
        <w:tblCellMar>
          <w:left w:w="10" w:type="dxa"/>
          <w:right w:w="10" w:type="dxa"/>
        </w:tblCellMar>
        <w:tblLook w:val="04A0" w:firstRow="1" w:lastRow="0" w:firstColumn="1" w:lastColumn="0" w:noHBand="0" w:noVBand="1"/>
      </w:tblPr>
      <w:tblGrid>
        <w:gridCol w:w="2772"/>
        <w:gridCol w:w="2517"/>
        <w:gridCol w:w="4417"/>
      </w:tblGrid>
      <w:tr w:rsidR="00B35753" w14:paraId="25A651A3" w14:textId="77777777">
        <w:tblPrEx>
          <w:tblCellMar>
            <w:top w:w="0" w:type="dxa"/>
            <w:bottom w:w="0" w:type="dxa"/>
          </w:tblCellMar>
        </w:tblPrEx>
        <w:trPr>
          <w:gridAfter w:val="2"/>
          <w:wAfter w:w="9904" w:type="dxa"/>
        </w:trPr>
        <w:tc>
          <w:tcPr>
            <w:tcW w:w="0" w:type="auto"/>
            <w:shd w:val="clear" w:color="auto" w:fill="1B263B"/>
            <w:tcMar>
              <w:top w:w="90" w:type="dxa"/>
              <w:left w:w="160" w:type="dxa"/>
              <w:bottom w:w="90" w:type="dxa"/>
              <w:right w:w="160" w:type="dxa"/>
            </w:tcMar>
          </w:tcPr>
          <w:p w14:paraId="3F7FD1F4" w14:textId="77777777" w:rsidR="00B35753" w:rsidRDefault="00000000">
            <w:r>
              <w:rPr>
                <w:b/>
                <w:bCs/>
                <w:color w:val="D4AF37"/>
                <w:sz w:val="22"/>
                <w:szCs w:val="22"/>
              </w:rPr>
              <w:t xml:space="preserve">Pos. A.01   </w:t>
            </w:r>
            <w:r>
              <w:rPr>
                <w:b/>
                <w:bCs/>
                <w:color w:val="FFFFFF"/>
                <w:sz w:val="22"/>
                <w:szCs w:val="22"/>
              </w:rPr>
              <w:t>Außenliegende Sonnenschutz-/Hitzeschutzfolie, hochreflektierend</w:t>
            </w:r>
          </w:p>
        </w:tc>
      </w:tr>
      <w:tr w:rsidR="00B35753" w14:paraId="5DF156CF" w14:textId="77777777">
        <w:tblPrEx>
          <w:tblBorders>
            <w:top w:val="single" w:sz="4" w:space="0" w:color="C9CDD3"/>
            <w:left w:val="single" w:sz="4" w:space="0" w:color="C9CDD3"/>
            <w:bottom w:val="single" w:sz="4" w:space="0" w:color="C9CDD3"/>
            <w:right w:val="single" w:sz="4" w:space="0" w:color="C9CDD3"/>
            <w:insideH w:val="single" w:sz="4" w:space="0" w:color="C9CDD3"/>
            <w:insideV w:val="single" w:sz="4" w:space="0" w:color="C9CDD3"/>
          </w:tblBorders>
          <w:tblCellMar>
            <w:top w:w="0" w:type="dxa"/>
            <w:bottom w:w="0" w:type="dxa"/>
          </w:tblCellMar>
        </w:tblPrEx>
        <w:tc>
          <w:tcPr>
            <w:tcW w:w="3333" w:type="dxa"/>
            <w:shd w:val="clear" w:color="auto" w:fill="FFFFFF"/>
            <w:tcMar>
              <w:top w:w="80" w:type="dxa"/>
              <w:left w:w="120" w:type="dxa"/>
              <w:bottom w:w="80" w:type="dxa"/>
              <w:right w:w="120" w:type="dxa"/>
            </w:tcMar>
          </w:tcPr>
          <w:p w14:paraId="7896A571" w14:textId="77777777" w:rsidR="00B35753" w:rsidRDefault="00000000">
            <w:pPr>
              <w:spacing w:after="20"/>
            </w:pPr>
            <w:r>
              <w:rPr>
                <w:b/>
                <w:bCs/>
                <w:color w:val="1B263B"/>
                <w:sz w:val="18"/>
                <w:szCs w:val="18"/>
              </w:rPr>
              <w:t>MENGE</w:t>
            </w:r>
          </w:p>
          <w:p w14:paraId="4655C7FA" w14:textId="77777777" w:rsidR="00B35753" w:rsidRDefault="00000000">
            <w:r>
              <w:rPr>
                <w:color w:val="555555"/>
              </w:rPr>
              <w:t>.............. m²</w:t>
            </w:r>
          </w:p>
        </w:tc>
        <w:tc>
          <w:tcPr>
            <w:tcW w:w="3333" w:type="dxa"/>
            <w:shd w:val="clear" w:color="auto" w:fill="FFFFFF"/>
            <w:tcMar>
              <w:top w:w="80" w:type="dxa"/>
              <w:left w:w="120" w:type="dxa"/>
              <w:bottom w:w="80" w:type="dxa"/>
              <w:right w:w="120" w:type="dxa"/>
            </w:tcMar>
          </w:tcPr>
          <w:p w14:paraId="63E59942" w14:textId="77777777" w:rsidR="00B35753" w:rsidRDefault="00000000">
            <w:pPr>
              <w:spacing w:after="20"/>
            </w:pPr>
            <w:r>
              <w:rPr>
                <w:b/>
                <w:bCs/>
                <w:color w:val="1B263B"/>
                <w:sz w:val="18"/>
                <w:szCs w:val="18"/>
              </w:rPr>
              <w:t>EINHEITSPREIS</w:t>
            </w:r>
          </w:p>
          <w:p w14:paraId="7A357834" w14:textId="77777777" w:rsidR="00B35753" w:rsidRDefault="00000000">
            <w:r>
              <w:rPr>
                <w:color w:val="555555"/>
              </w:rPr>
              <w:t>.............. €/m²</w:t>
            </w:r>
          </w:p>
        </w:tc>
        <w:tc>
          <w:tcPr>
            <w:tcW w:w="3333" w:type="dxa"/>
            <w:shd w:val="clear" w:color="auto" w:fill="FFFFFF"/>
            <w:tcMar>
              <w:top w:w="80" w:type="dxa"/>
              <w:left w:w="120" w:type="dxa"/>
              <w:bottom w:w="80" w:type="dxa"/>
              <w:right w:w="120" w:type="dxa"/>
            </w:tcMar>
          </w:tcPr>
          <w:p w14:paraId="70514D10" w14:textId="77777777" w:rsidR="00B35753" w:rsidRDefault="00000000">
            <w:pPr>
              <w:spacing w:after="20"/>
            </w:pPr>
            <w:r>
              <w:rPr>
                <w:b/>
                <w:bCs/>
                <w:color w:val="1B263B"/>
                <w:sz w:val="18"/>
                <w:szCs w:val="18"/>
              </w:rPr>
              <w:t>GESAMTPREIS</w:t>
            </w:r>
          </w:p>
          <w:p w14:paraId="7A06477C" w14:textId="77777777" w:rsidR="00B35753" w:rsidRDefault="00000000">
            <w:r>
              <w:rPr>
                <w:color w:val="555555"/>
              </w:rPr>
              <w:t>.............. €</w:t>
            </w:r>
          </w:p>
        </w:tc>
      </w:tr>
    </w:tbl>
    <w:p w14:paraId="0E9C194C" w14:textId="77777777" w:rsidR="00B35753" w:rsidRDefault="00B35753">
      <w:pPr>
        <w:spacing w:after="80"/>
      </w:pPr>
    </w:p>
    <w:p w14:paraId="158320C6" w14:textId="77777777" w:rsidR="00B35753" w:rsidRDefault="00000000">
      <w:pPr>
        <w:spacing w:before="200" w:after="80"/>
      </w:pPr>
      <w:r>
        <w:rPr>
          <w:b/>
          <w:bCs/>
          <w:color w:val="1B263B"/>
          <w:sz w:val="22"/>
          <w:szCs w:val="22"/>
        </w:rPr>
        <w:t>Langtext</w:t>
      </w:r>
    </w:p>
    <w:p w14:paraId="628D0D31" w14:textId="77777777" w:rsidR="00B35753" w:rsidRDefault="00000000">
      <w:pPr>
        <w:spacing w:after="120" w:line="264" w:lineRule="auto"/>
      </w:pPr>
      <w:r>
        <w:rPr>
          <w:color w:val="222222"/>
          <w:sz w:val="21"/>
          <w:szCs w:val="21"/>
        </w:rPr>
        <w:t>Liefern und fachgerecht applizieren einer außenliegenden, metallisierten Mehrlagen-Sonnenschutzfolie (PET, mehrlagig, mit kratzfestem SR-Hardcoat) auf die vorhandene Verglasung. Vollflächig blasen- und einschlussfrei verklebt, Randabschluss sauber beigeschnitten. Untergrundreinigung, Anpassung an Rahmen/Sprossen und Entsorgung der Verschnitte inklusive. Ausführung durch geschultes Fachpersonal des Bieters.</w:t>
      </w:r>
    </w:p>
    <w:p w14:paraId="583FF2A8" w14:textId="77777777" w:rsidR="00B35753" w:rsidRDefault="00000000">
      <w:pPr>
        <w:spacing w:before="200" w:after="80"/>
      </w:pPr>
      <w:r>
        <w:rPr>
          <w:b/>
          <w:bCs/>
          <w:color w:val="1B263B"/>
          <w:sz w:val="22"/>
          <w:szCs w:val="22"/>
        </w:rPr>
        <w:t>Technische Mindestanforderungen (Nachweis: Prüfbericht DIN EN 410 / ISO 9050)</w:t>
      </w:r>
    </w:p>
    <w:p w14:paraId="284CF96A" w14:textId="77777777" w:rsidR="00B35753" w:rsidRDefault="00000000">
      <w:pPr>
        <w:pStyle w:val="Listenabsatz"/>
        <w:numPr>
          <w:ilvl w:val="0"/>
          <w:numId w:val="1"/>
        </w:numPr>
        <w:spacing w:after="40" w:line="260" w:lineRule="auto"/>
      </w:pPr>
      <w:r>
        <w:rPr>
          <w:b/>
          <w:bCs/>
          <w:color w:val="1B263B"/>
          <w:sz w:val="21"/>
          <w:szCs w:val="21"/>
        </w:rPr>
        <w:t xml:space="preserve">Gesamtenergie-Durchlassgrad (g-Wert):  </w:t>
      </w:r>
      <w:r>
        <w:rPr>
          <w:color w:val="222222"/>
          <w:sz w:val="21"/>
          <w:szCs w:val="21"/>
        </w:rPr>
        <w:t>≤ 0,18  (Bestandsglas ohne Folie g ≈ 0,87)</w:t>
      </w:r>
    </w:p>
    <w:p w14:paraId="2C091DF1" w14:textId="77777777" w:rsidR="00B35753" w:rsidRDefault="00000000">
      <w:pPr>
        <w:pStyle w:val="Listenabsatz"/>
        <w:numPr>
          <w:ilvl w:val="0"/>
          <w:numId w:val="1"/>
        </w:numPr>
        <w:spacing w:after="40" w:line="260" w:lineRule="auto"/>
      </w:pPr>
      <w:r>
        <w:rPr>
          <w:b/>
          <w:bCs/>
          <w:color w:val="1B263B"/>
          <w:sz w:val="21"/>
          <w:szCs w:val="21"/>
        </w:rPr>
        <w:t xml:space="preserve">Gesamte abgewiesene Sonnenenergie (TSER):  </w:t>
      </w:r>
      <w:r>
        <w:rPr>
          <w:color w:val="222222"/>
          <w:sz w:val="21"/>
          <w:szCs w:val="21"/>
        </w:rPr>
        <w:t>≥ 82 %</w:t>
      </w:r>
    </w:p>
    <w:p w14:paraId="74CE767F" w14:textId="77777777" w:rsidR="00B35753" w:rsidRDefault="00000000">
      <w:pPr>
        <w:pStyle w:val="Listenabsatz"/>
        <w:numPr>
          <w:ilvl w:val="0"/>
          <w:numId w:val="1"/>
        </w:numPr>
        <w:spacing w:after="40" w:line="260" w:lineRule="auto"/>
      </w:pPr>
      <w:r>
        <w:rPr>
          <w:b/>
          <w:bCs/>
          <w:color w:val="1B263B"/>
          <w:sz w:val="21"/>
          <w:szCs w:val="21"/>
        </w:rPr>
        <w:t>Sonnenenergie-Reflexion (</w:t>
      </w:r>
      <w:proofErr w:type="spellStart"/>
      <w:r>
        <w:rPr>
          <w:b/>
          <w:bCs/>
          <w:color w:val="1B263B"/>
          <w:sz w:val="21"/>
          <w:szCs w:val="21"/>
        </w:rPr>
        <w:t>ρe</w:t>
      </w:r>
      <w:proofErr w:type="spellEnd"/>
      <w:r>
        <w:rPr>
          <w:b/>
          <w:bCs/>
          <w:color w:val="1B263B"/>
          <w:sz w:val="21"/>
          <w:szCs w:val="21"/>
        </w:rPr>
        <w:t xml:space="preserve">):  </w:t>
      </w:r>
      <w:r>
        <w:rPr>
          <w:color w:val="222222"/>
          <w:sz w:val="21"/>
          <w:szCs w:val="21"/>
        </w:rPr>
        <w:t>≥ 67 %</w:t>
      </w:r>
    </w:p>
    <w:p w14:paraId="2FA4DF13" w14:textId="77777777" w:rsidR="00B35753" w:rsidRDefault="00000000">
      <w:pPr>
        <w:pStyle w:val="Listenabsatz"/>
        <w:numPr>
          <w:ilvl w:val="0"/>
          <w:numId w:val="1"/>
        </w:numPr>
        <w:spacing w:after="40" w:line="260" w:lineRule="auto"/>
      </w:pPr>
      <w:r>
        <w:rPr>
          <w:b/>
          <w:bCs/>
          <w:color w:val="1B263B"/>
          <w:sz w:val="21"/>
          <w:szCs w:val="21"/>
        </w:rPr>
        <w:t xml:space="preserve">UV-Abweisung (300–380 nm):  </w:t>
      </w:r>
      <w:r>
        <w:rPr>
          <w:color w:val="222222"/>
          <w:sz w:val="21"/>
          <w:szCs w:val="21"/>
        </w:rPr>
        <w:t>≥ 99 %  (</w:t>
      </w:r>
      <w:proofErr w:type="spellStart"/>
      <w:r>
        <w:rPr>
          <w:color w:val="222222"/>
          <w:sz w:val="21"/>
          <w:szCs w:val="21"/>
        </w:rPr>
        <w:t>τUV</w:t>
      </w:r>
      <w:proofErr w:type="spellEnd"/>
      <w:r>
        <w:rPr>
          <w:color w:val="222222"/>
          <w:sz w:val="21"/>
          <w:szCs w:val="21"/>
        </w:rPr>
        <w:t xml:space="preserve"> ≤ 1 %)</w:t>
      </w:r>
    </w:p>
    <w:p w14:paraId="630E95F8" w14:textId="77777777" w:rsidR="00B35753" w:rsidRDefault="00000000">
      <w:pPr>
        <w:pStyle w:val="Listenabsatz"/>
        <w:numPr>
          <w:ilvl w:val="0"/>
          <w:numId w:val="1"/>
        </w:numPr>
        <w:spacing w:after="40" w:line="260" w:lineRule="auto"/>
      </w:pPr>
      <w:r>
        <w:rPr>
          <w:b/>
          <w:bCs/>
          <w:color w:val="1B263B"/>
          <w:sz w:val="21"/>
          <w:szCs w:val="21"/>
        </w:rPr>
        <w:t xml:space="preserve">Beschattungskoeffizient (SC):  </w:t>
      </w:r>
      <w:r>
        <w:rPr>
          <w:color w:val="222222"/>
          <w:sz w:val="21"/>
          <w:szCs w:val="21"/>
        </w:rPr>
        <w:t>≤ 0,21</w:t>
      </w:r>
    </w:p>
    <w:p w14:paraId="419C4288" w14:textId="77777777" w:rsidR="00B35753" w:rsidRDefault="00000000">
      <w:pPr>
        <w:pStyle w:val="Listenabsatz"/>
        <w:numPr>
          <w:ilvl w:val="0"/>
          <w:numId w:val="1"/>
        </w:numPr>
        <w:spacing w:after="40" w:line="260" w:lineRule="auto"/>
      </w:pPr>
      <w:r>
        <w:rPr>
          <w:b/>
          <w:bCs/>
          <w:color w:val="1B263B"/>
          <w:sz w:val="21"/>
          <w:szCs w:val="21"/>
        </w:rPr>
        <w:t>Lichttransmission (</w:t>
      </w:r>
      <w:proofErr w:type="spellStart"/>
      <w:r>
        <w:rPr>
          <w:b/>
          <w:bCs/>
          <w:color w:val="1B263B"/>
          <w:sz w:val="21"/>
          <w:szCs w:val="21"/>
        </w:rPr>
        <w:t>τV</w:t>
      </w:r>
      <w:proofErr w:type="spellEnd"/>
      <w:r>
        <w:rPr>
          <w:b/>
          <w:bCs/>
          <w:color w:val="1B263B"/>
          <w:sz w:val="21"/>
          <w:szCs w:val="21"/>
        </w:rPr>
        <w:t xml:space="preserve">):  </w:t>
      </w:r>
      <w:r>
        <w:rPr>
          <w:color w:val="222222"/>
          <w:sz w:val="21"/>
          <w:szCs w:val="21"/>
        </w:rPr>
        <w:t>≈ 16 % (herstellungsbedingte Toleranz)</w:t>
      </w:r>
    </w:p>
    <w:p w14:paraId="22B1236A" w14:textId="77777777" w:rsidR="00B35753" w:rsidRDefault="00000000">
      <w:pPr>
        <w:pStyle w:val="Listenabsatz"/>
        <w:numPr>
          <w:ilvl w:val="0"/>
          <w:numId w:val="1"/>
        </w:numPr>
        <w:spacing w:after="40" w:line="260" w:lineRule="auto"/>
      </w:pPr>
      <w:r>
        <w:rPr>
          <w:b/>
          <w:bCs/>
          <w:color w:val="1B263B"/>
          <w:sz w:val="21"/>
          <w:szCs w:val="21"/>
        </w:rPr>
        <w:t xml:space="preserve">Verlegung:  </w:t>
      </w:r>
      <w:r>
        <w:rPr>
          <w:color w:val="222222"/>
          <w:sz w:val="21"/>
          <w:szCs w:val="21"/>
        </w:rPr>
        <w:t>außenseitig, vor der Verglasung</w:t>
      </w:r>
    </w:p>
    <w:p w14:paraId="00A86258" w14:textId="77777777" w:rsidR="00B35753" w:rsidRDefault="00000000">
      <w:pPr>
        <w:pStyle w:val="Listenabsatz"/>
        <w:numPr>
          <w:ilvl w:val="0"/>
          <w:numId w:val="1"/>
        </w:numPr>
        <w:spacing w:after="40" w:line="260" w:lineRule="auto"/>
      </w:pPr>
      <w:r>
        <w:rPr>
          <w:b/>
          <w:bCs/>
          <w:color w:val="1B263B"/>
          <w:sz w:val="21"/>
          <w:szCs w:val="21"/>
        </w:rPr>
        <w:t xml:space="preserve">Materialaufbau:  </w:t>
      </w:r>
      <w:r>
        <w:rPr>
          <w:color w:val="222222"/>
          <w:sz w:val="21"/>
          <w:szCs w:val="21"/>
        </w:rPr>
        <w:t>PET metallisiert, mehrlagig; Oberfläche SR-Hardcoat</w:t>
      </w:r>
    </w:p>
    <w:p w14:paraId="56D16C5C" w14:textId="77777777" w:rsidR="00B35753" w:rsidRDefault="00000000">
      <w:pPr>
        <w:pStyle w:val="Listenabsatz"/>
        <w:numPr>
          <w:ilvl w:val="0"/>
          <w:numId w:val="1"/>
        </w:numPr>
        <w:spacing w:after="40" w:line="260" w:lineRule="auto"/>
      </w:pPr>
      <w:r>
        <w:rPr>
          <w:b/>
          <w:bCs/>
          <w:color w:val="1B263B"/>
          <w:sz w:val="21"/>
          <w:szCs w:val="21"/>
        </w:rPr>
        <w:t xml:space="preserve">Gewährleistung Folienmaterial:  </w:t>
      </w:r>
      <w:r>
        <w:rPr>
          <w:color w:val="222222"/>
          <w:sz w:val="21"/>
          <w:szCs w:val="21"/>
        </w:rPr>
        <w:t>≥ 5 Jahre vertikal / ≥ 3 Jahre horizontal</w:t>
      </w:r>
    </w:p>
    <w:p w14:paraId="3B36ED93" w14:textId="77777777" w:rsidR="00B35753" w:rsidRDefault="00B35753">
      <w:pPr>
        <w:spacing w:after="60"/>
      </w:pPr>
    </w:p>
    <w:tbl>
      <w:tblPr>
        <w:tblW w:w="5000" w:type="pct"/>
        <w:tblBorders>
          <w:top w:val="single" w:sz="4" w:space="0" w:color="1B263B"/>
          <w:left w:val="single" w:sz="18" w:space="0" w:color="1B263B"/>
          <w:bottom w:val="single" w:sz="4" w:space="0" w:color="1B263B"/>
          <w:right w:val="single" w:sz="4" w:space="0" w:color="1B263B"/>
        </w:tblBorders>
        <w:tblCellMar>
          <w:left w:w="10" w:type="dxa"/>
          <w:right w:w="10" w:type="dxa"/>
        </w:tblCellMar>
        <w:tblLook w:val="04A0" w:firstRow="1" w:lastRow="0" w:firstColumn="1" w:lastColumn="0" w:noHBand="0" w:noVBand="1"/>
      </w:tblPr>
      <w:tblGrid>
        <w:gridCol w:w="9678"/>
      </w:tblGrid>
      <w:tr w:rsidR="00B35753" w14:paraId="00FC1CD0" w14:textId="77777777">
        <w:tblPrEx>
          <w:tblCellMar>
            <w:top w:w="0" w:type="dxa"/>
            <w:bottom w:w="0" w:type="dxa"/>
          </w:tblCellMar>
        </w:tblPrEx>
        <w:tc>
          <w:tcPr>
            <w:tcW w:w="0" w:type="auto"/>
            <w:shd w:val="clear" w:color="auto" w:fill="EDEFF3"/>
            <w:tcMar>
              <w:top w:w="120" w:type="dxa"/>
              <w:left w:w="180" w:type="dxa"/>
              <w:bottom w:w="120" w:type="dxa"/>
              <w:right w:w="180" w:type="dxa"/>
            </w:tcMar>
          </w:tcPr>
          <w:p w14:paraId="4544F1C6" w14:textId="77777777" w:rsidR="00B35753" w:rsidRDefault="00000000">
            <w:pPr>
              <w:spacing w:after="120" w:line="264" w:lineRule="auto"/>
            </w:pPr>
            <w:r>
              <w:rPr>
                <w:b/>
                <w:bCs/>
                <w:color w:val="1B263B"/>
                <w:sz w:val="21"/>
                <w:szCs w:val="21"/>
              </w:rPr>
              <w:t xml:space="preserve">Leitfabrikat: </w:t>
            </w:r>
            <w:r>
              <w:rPr>
                <w:b/>
                <w:bCs/>
                <w:sz w:val="21"/>
                <w:szCs w:val="21"/>
              </w:rPr>
              <w:t xml:space="preserve">FolienDock »KutterDock S80« (Art. KDF-S80-EXT) </w:t>
            </w:r>
            <w:r>
              <w:rPr>
                <w:i/>
                <w:iCs/>
                <w:sz w:val="21"/>
                <w:szCs w:val="21"/>
              </w:rPr>
              <w:t>oder gleichwertig.</w:t>
            </w:r>
          </w:p>
        </w:tc>
      </w:tr>
    </w:tbl>
    <w:p w14:paraId="62EA0FE8" w14:textId="77777777" w:rsidR="00B35753" w:rsidRDefault="00B35753">
      <w:pPr>
        <w:spacing w:after="120"/>
      </w:pPr>
    </w:p>
    <w:p w14:paraId="487127E6" w14:textId="77777777" w:rsidR="00B35753" w:rsidRDefault="00000000">
      <w:pPr>
        <w:spacing w:before="200" w:after="80"/>
      </w:pPr>
      <w:r>
        <w:rPr>
          <w:b/>
          <w:bCs/>
          <w:color w:val="1B263B"/>
          <w:sz w:val="22"/>
          <w:szCs w:val="22"/>
        </w:rPr>
        <w:t>A – Eignungs- und Bieternachweise (mit dem Angebot vorzulegen)</w:t>
      </w:r>
    </w:p>
    <w:p w14:paraId="38148815" w14:textId="77777777" w:rsidR="00B35753" w:rsidRDefault="00000000">
      <w:pPr>
        <w:pStyle w:val="Listenabsatz"/>
        <w:numPr>
          <w:ilvl w:val="0"/>
          <w:numId w:val="1"/>
        </w:numPr>
        <w:spacing w:after="40" w:line="260" w:lineRule="auto"/>
      </w:pPr>
      <w:r>
        <w:rPr>
          <w:color w:val="222222"/>
          <w:sz w:val="21"/>
          <w:szCs w:val="21"/>
        </w:rPr>
        <w:t>Prüfbericht nach DIN EN 410 / ISO 9050 mit den geforderten Kennwerten, ausgestellt auf das angebotene Fabrikat.</w:t>
      </w:r>
    </w:p>
    <w:p w14:paraId="06B56C31" w14:textId="77777777" w:rsidR="00B35753" w:rsidRDefault="00000000">
      <w:pPr>
        <w:pStyle w:val="Listenabsatz"/>
        <w:numPr>
          <w:ilvl w:val="0"/>
          <w:numId w:val="1"/>
        </w:numPr>
        <w:spacing w:after="40" w:line="260" w:lineRule="auto"/>
      </w:pPr>
      <w:r>
        <w:rPr>
          <w:color w:val="222222"/>
          <w:sz w:val="21"/>
          <w:szCs w:val="21"/>
        </w:rPr>
        <w:t>Herstellerdatenblatt mit Materialaufbau, Schichtfolge und Gewährleistungsangaben.</w:t>
      </w:r>
    </w:p>
    <w:p w14:paraId="7904501D" w14:textId="77777777" w:rsidR="00B35753" w:rsidRDefault="00000000">
      <w:pPr>
        <w:pStyle w:val="Listenabsatz"/>
        <w:numPr>
          <w:ilvl w:val="0"/>
          <w:numId w:val="1"/>
        </w:numPr>
        <w:spacing w:after="40" w:line="260" w:lineRule="auto"/>
      </w:pPr>
      <w:r>
        <w:rPr>
          <w:color w:val="222222"/>
          <w:sz w:val="21"/>
          <w:szCs w:val="21"/>
        </w:rPr>
        <w:t>Nachweis geschulter, eigener Montageteams (keine Subvergabe der Applikation ohne Zustimmung des AG).</w:t>
      </w:r>
    </w:p>
    <w:p w14:paraId="35827135" w14:textId="77777777" w:rsidR="00B35753" w:rsidRDefault="00000000">
      <w:pPr>
        <w:pStyle w:val="Listenabsatz"/>
        <w:numPr>
          <w:ilvl w:val="0"/>
          <w:numId w:val="1"/>
        </w:numPr>
        <w:spacing w:after="40" w:line="260" w:lineRule="auto"/>
      </w:pPr>
      <w:r>
        <w:rPr>
          <w:color w:val="222222"/>
          <w:sz w:val="21"/>
          <w:szCs w:val="21"/>
        </w:rPr>
        <w:lastRenderedPageBreak/>
        <w:t>Mindestens drei vergleichbare Objektreferenzen der letzten fünf Jahre (Objektgröße, Glasfläche in m², Ansprechpartner).</w:t>
      </w:r>
    </w:p>
    <w:p w14:paraId="683DBDB7" w14:textId="77777777" w:rsidR="00B35753" w:rsidRDefault="00000000">
      <w:pPr>
        <w:pStyle w:val="Listenabsatz"/>
        <w:numPr>
          <w:ilvl w:val="0"/>
          <w:numId w:val="1"/>
        </w:numPr>
        <w:spacing w:after="40" w:line="260" w:lineRule="auto"/>
      </w:pPr>
      <w:r>
        <w:rPr>
          <w:color w:val="222222"/>
          <w:sz w:val="21"/>
          <w:szCs w:val="21"/>
        </w:rPr>
        <w:t>Auf Verlangen: thermisches Vor-Prüfprotokoll zur Glasverträglichkeit (Thermospannungs-/</w:t>
      </w:r>
      <w:proofErr w:type="spellStart"/>
      <w:r>
        <w:rPr>
          <w:color w:val="222222"/>
          <w:sz w:val="21"/>
          <w:szCs w:val="21"/>
        </w:rPr>
        <w:t>Berstrisiko</w:t>
      </w:r>
      <w:proofErr w:type="spellEnd"/>
      <w:r>
        <w:rPr>
          <w:color w:val="222222"/>
          <w:sz w:val="21"/>
          <w:szCs w:val="21"/>
        </w:rPr>
        <w:t>-Bewertung) vor Applikation.</w:t>
      </w:r>
    </w:p>
    <w:p w14:paraId="23A40FEA" w14:textId="77777777" w:rsidR="00B35753" w:rsidRDefault="00000000">
      <w:r>
        <w:br w:type="page"/>
      </w:r>
    </w:p>
    <w:p w14:paraId="68035634" w14:textId="77777777" w:rsidR="00B35753" w:rsidRDefault="00000000">
      <w:pPr>
        <w:pBdr>
          <w:bottom w:val="single" w:sz="8" w:space="6" w:color="D4AF37"/>
        </w:pBdr>
        <w:spacing w:before="300" w:after="100"/>
      </w:pPr>
      <w:r>
        <w:rPr>
          <w:b/>
          <w:bCs/>
          <w:color w:val="B8860B"/>
          <w:sz w:val="26"/>
          <w:szCs w:val="26"/>
        </w:rPr>
        <w:lastRenderedPageBreak/>
        <w:t xml:space="preserve">LV-Block B  </w:t>
      </w:r>
      <w:r>
        <w:rPr>
          <w:b/>
          <w:bCs/>
          <w:color w:val="1B263B"/>
          <w:sz w:val="26"/>
          <w:szCs w:val="26"/>
        </w:rPr>
        <w:t>UV-Schutzfolie, Museumsklasse, innenliegend</w:t>
      </w:r>
    </w:p>
    <w:p w14:paraId="630EECB1" w14:textId="77777777" w:rsidR="00B35753" w:rsidRDefault="00000000">
      <w:pPr>
        <w:spacing w:after="120" w:line="264" w:lineRule="auto"/>
      </w:pPr>
      <w:r>
        <w:rPr>
          <w:color w:val="222222"/>
          <w:sz w:val="21"/>
          <w:szCs w:val="21"/>
        </w:rPr>
        <w:t>Leistungsbereich: Schutz von Exponaten, Textilien, Holz, Drucken und Interieur gegen lichtbedingtes Ausbleichen bei hoher Tageslichtnutzung — für Ausstellungs-, Archiv-, Verkaufs- und Repräsentationsflächen.</w:t>
      </w:r>
    </w:p>
    <w:p w14:paraId="4E9B4068" w14:textId="77777777" w:rsidR="00B35753" w:rsidRDefault="00000000">
      <w:pPr>
        <w:spacing w:before="200" w:after="80"/>
      </w:pPr>
      <w:r>
        <w:rPr>
          <w:b/>
          <w:bCs/>
          <w:color w:val="1B263B"/>
          <w:sz w:val="22"/>
          <w:szCs w:val="22"/>
        </w:rPr>
        <w:t>B.0  Vorbemerkung zum Titel</w:t>
      </w:r>
    </w:p>
    <w:tbl>
      <w:tblPr>
        <w:tblW w:w="5000" w:type="pct"/>
        <w:tblBorders>
          <w:top w:val="single" w:sz="4" w:space="0" w:color="D4AF37"/>
          <w:left w:val="single" w:sz="18" w:space="0" w:color="D4AF37"/>
          <w:bottom w:val="single" w:sz="4" w:space="0" w:color="D4AF37"/>
          <w:right w:val="single" w:sz="4" w:space="0" w:color="D4AF37"/>
        </w:tblBorders>
        <w:tblCellMar>
          <w:left w:w="10" w:type="dxa"/>
          <w:right w:w="10" w:type="dxa"/>
        </w:tblCellMar>
        <w:tblLook w:val="04A0" w:firstRow="1" w:lastRow="0" w:firstColumn="1" w:lastColumn="0" w:noHBand="0" w:noVBand="1"/>
      </w:tblPr>
      <w:tblGrid>
        <w:gridCol w:w="9678"/>
      </w:tblGrid>
      <w:tr w:rsidR="00B35753" w14:paraId="41606C38" w14:textId="77777777">
        <w:tblPrEx>
          <w:tblCellMar>
            <w:top w:w="0" w:type="dxa"/>
            <w:bottom w:w="0" w:type="dxa"/>
          </w:tblCellMar>
        </w:tblPrEx>
        <w:tc>
          <w:tcPr>
            <w:tcW w:w="0" w:type="auto"/>
            <w:shd w:val="clear" w:color="auto" w:fill="F2F4F7"/>
            <w:tcMar>
              <w:top w:w="120" w:type="dxa"/>
              <w:left w:w="180" w:type="dxa"/>
              <w:bottom w:w="120" w:type="dxa"/>
              <w:right w:w="180" w:type="dxa"/>
            </w:tcMar>
          </w:tcPr>
          <w:p w14:paraId="3502A428" w14:textId="77777777" w:rsidR="00B35753" w:rsidRDefault="00000000">
            <w:pPr>
              <w:spacing w:after="120" w:line="264" w:lineRule="auto"/>
            </w:pPr>
            <w:r>
              <w:rPr>
                <w:sz w:val="21"/>
                <w:szCs w:val="21"/>
              </w:rPr>
              <w:t xml:space="preserve">Zu liefern und raumseitig zu applizieren ist eine transparente, mehrlagige UV-Schutzfolie der Museumsklasse mit einer UV-Abweisung von mindestens 99,5 % bei gleichzeitig hoher Lichttransmission. Die Folie dient dem konservatorischen Materialschutz und ist für den Einsatz auf </w:t>
            </w:r>
            <w:proofErr w:type="spellStart"/>
            <w:r>
              <w:rPr>
                <w:sz w:val="21"/>
                <w:szCs w:val="21"/>
              </w:rPr>
              <w:t>Float</w:t>
            </w:r>
            <w:proofErr w:type="spellEnd"/>
            <w:r>
              <w:rPr>
                <w:sz w:val="21"/>
                <w:szCs w:val="21"/>
              </w:rPr>
              <w:t>-, ESG-, Isolier- und Verbundsicherheitsglas geeignet. Kennwerte nach DIN EN 410 / ISO 9050 nachzuweisen.</w:t>
            </w:r>
          </w:p>
        </w:tc>
      </w:tr>
    </w:tbl>
    <w:p w14:paraId="2B248A72" w14:textId="77777777" w:rsidR="00B35753" w:rsidRDefault="00B35753">
      <w:pPr>
        <w:spacing w:after="100"/>
      </w:pPr>
    </w:p>
    <w:tbl>
      <w:tblPr>
        <w:tblW w:w="5000" w:type="pct"/>
        <w:tblCellMar>
          <w:left w:w="10" w:type="dxa"/>
          <w:right w:w="10" w:type="dxa"/>
        </w:tblCellMar>
        <w:tblLook w:val="04A0" w:firstRow="1" w:lastRow="0" w:firstColumn="1" w:lastColumn="0" w:noHBand="0" w:noVBand="1"/>
      </w:tblPr>
      <w:tblGrid>
        <w:gridCol w:w="2708"/>
        <w:gridCol w:w="2534"/>
        <w:gridCol w:w="4464"/>
      </w:tblGrid>
      <w:tr w:rsidR="00B35753" w14:paraId="316DF10D" w14:textId="77777777">
        <w:tblPrEx>
          <w:tblCellMar>
            <w:top w:w="0" w:type="dxa"/>
            <w:bottom w:w="0" w:type="dxa"/>
          </w:tblCellMar>
        </w:tblPrEx>
        <w:trPr>
          <w:gridAfter w:val="2"/>
          <w:wAfter w:w="9904" w:type="dxa"/>
        </w:trPr>
        <w:tc>
          <w:tcPr>
            <w:tcW w:w="0" w:type="auto"/>
            <w:shd w:val="clear" w:color="auto" w:fill="1B263B"/>
            <w:tcMar>
              <w:top w:w="90" w:type="dxa"/>
              <w:left w:w="160" w:type="dxa"/>
              <w:bottom w:w="90" w:type="dxa"/>
              <w:right w:w="160" w:type="dxa"/>
            </w:tcMar>
          </w:tcPr>
          <w:p w14:paraId="33DFF2AF" w14:textId="77777777" w:rsidR="00B35753" w:rsidRDefault="00000000">
            <w:r>
              <w:rPr>
                <w:b/>
                <w:bCs/>
                <w:color w:val="D4AF37"/>
                <w:sz w:val="22"/>
                <w:szCs w:val="22"/>
              </w:rPr>
              <w:t xml:space="preserve">Pos. B.01   </w:t>
            </w:r>
            <w:r>
              <w:rPr>
                <w:b/>
                <w:bCs/>
                <w:color w:val="FFFFFF"/>
                <w:sz w:val="22"/>
                <w:szCs w:val="22"/>
              </w:rPr>
              <w:t>Innenliegende UV-Schutzfolie, transparent, Museumsklasse</w:t>
            </w:r>
          </w:p>
        </w:tc>
      </w:tr>
      <w:tr w:rsidR="00B35753" w14:paraId="039C0C93" w14:textId="77777777">
        <w:tblPrEx>
          <w:tblBorders>
            <w:top w:val="single" w:sz="4" w:space="0" w:color="C9CDD3"/>
            <w:left w:val="single" w:sz="4" w:space="0" w:color="C9CDD3"/>
            <w:bottom w:val="single" w:sz="4" w:space="0" w:color="C9CDD3"/>
            <w:right w:val="single" w:sz="4" w:space="0" w:color="C9CDD3"/>
            <w:insideH w:val="single" w:sz="4" w:space="0" w:color="C9CDD3"/>
            <w:insideV w:val="single" w:sz="4" w:space="0" w:color="C9CDD3"/>
          </w:tblBorders>
          <w:tblCellMar>
            <w:top w:w="0" w:type="dxa"/>
            <w:bottom w:w="0" w:type="dxa"/>
          </w:tblCellMar>
        </w:tblPrEx>
        <w:tc>
          <w:tcPr>
            <w:tcW w:w="3333" w:type="dxa"/>
            <w:shd w:val="clear" w:color="auto" w:fill="FFFFFF"/>
            <w:tcMar>
              <w:top w:w="80" w:type="dxa"/>
              <w:left w:w="120" w:type="dxa"/>
              <w:bottom w:w="80" w:type="dxa"/>
              <w:right w:w="120" w:type="dxa"/>
            </w:tcMar>
          </w:tcPr>
          <w:p w14:paraId="61C55284" w14:textId="77777777" w:rsidR="00B35753" w:rsidRDefault="00000000">
            <w:pPr>
              <w:spacing w:after="20"/>
            </w:pPr>
            <w:r>
              <w:rPr>
                <w:b/>
                <w:bCs/>
                <w:color w:val="1B263B"/>
                <w:sz w:val="18"/>
                <w:szCs w:val="18"/>
              </w:rPr>
              <w:t>MENGE</w:t>
            </w:r>
          </w:p>
          <w:p w14:paraId="69FB8724" w14:textId="77777777" w:rsidR="00B35753" w:rsidRDefault="00000000">
            <w:r>
              <w:rPr>
                <w:color w:val="555555"/>
              </w:rPr>
              <w:t>.............. m²</w:t>
            </w:r>
          </w:p>
        </w:tc>
        <w:tc>
          <w:tcPr>
            <w:tcW w:w="3333" w:type="dxa"/>
            <w:shd w:val="clear" w:color="auto" w:fill="FFFFFF"/>
            <w:tcMar>
              <w:top w:w="80" w:type="dxa"/>
              <w:left w:w="120" w:type="dxa"/>
              <w:bottom w:w="80" w:type="dxa"/>
              <w:right w:w="120" w:type="dxa"/>
            </w:tcMar>
          </w:tcPr>
          <w:p w14:paraId="717C4D36" w14:textId="77777777" w:rsidR="00B35753" w:rsidRDefault="00000000">
            <w:pPr>
              <w:spacing w:after="20"/>
            </w:pPr>
            <w:r>
              <w:rPr>
                <w:b/>
                <w:bCs/>
                <w:color w:val="1B263B"/>
                <w:sz w:val="18"/>
                <w:szCs w:val="18"/>
              </w:rPr>
              <w:t>EINHEITSPREIS</w:t>
            </w:r>
          </w:p>
          <w:p w14:paraId="48AB085A" w14:textId="77777777" w:rsidR="00B35753" w:rsidRDefault="00000000">
            <w:r>
              <w:rPr>
                <w:color w:val="555555"/>
              </w:rPr>
              <w:t>.............. €/m²</w:t>
            </w:r>
          </w:p>
        </w:tc>
        <w:tc>
          <w:tcPr>
            <w:tcW w:w="3333" w:type="dxa"/>
            <w:shd w:val="clear" w:color="auto" w:fill="FFFFFF"/>
            <w:tcMar>
              <w:top w:w="80" w:type="dxa"/>
              <w:left w:w="120" w:type="dxa"/>
              <w:bottom w:w="80" w:type="dxa"/>
              <w:right w:w="120" w:type="dxa"/>
            </w:tcMar>
          </w:tcPr>
          <w:p w14:paraId="646C48B9" w14:textId="77777777" w:rsidR="00B35753" w:rsidRDefault="00000000">
            <w:pPr>
              <w:spacing w:after="20"/>
            </w:pPr>
            <w:r>
              <w:rPr>
                <w:b/>
                <w:bCs/>
                <w:color w:val="1B263B"/>
                <w:sz w:val="18"/>
                <w:szCs w:val="18"/>
              </w:rPr>
              <w:t>GESAMTPREIS</w:t>
            </w:r>
          </w:p>
          <w:p w14:paraId="292ECDDB" w14:textId="77777777" w:rsidR="00B35753" w:rsidRDefault="00000000">
            <w:r>
              <w:rPr>
                <w:color w:val="555555"/>
              </w:rPr>
              <w:t>.............. €</w:t>
            </w:r>
          </w:p>
        </w:tc>
      </w:tr>
    </w:tbl>
    <w:p w14:paraId="149B17DB" w14:textId="77777777" w:rsidR="00B35753" w:rsidRDefault="00B35753">
      <w:pPr>
        <w:spacing w:after="80"/>
      </w:pPr>
    </w:p>
    <w:p w14:paraId="1CEEE5BB" w14:textId="77777777" w:rsidR="00B35753" w:rsidRDefault="00000000">
      <w:pPr>
        <w:spacing w:before="200" w:after="80"/>
      </w:pPr>
      <w:r>
        <w:rPr>
          <w:b/>
          <w:bCs/>
          <w:color w:val="1B263B"/>
          <w:sz w:val="22"/>
          <w:szCs w:val="22"/>
        </w:rPr>
        <w:t>Langtext</w:t>
      </w:r>
    </w:p>
    <w:p w14:paraId="13F0011E" w14:textId="77777777" w:rsidR="00B35753" w:rsidRDefault="00000000">
      <w:pPr>
        <w:spacing w:after="120" w:line="264" w:lineRule="auto"/>
      </w:pPr>
      <w:r>
        <w:rPr>
          <w:color w:val="222222"/>
          <w:sz w:val="21"/>
          <w:szCs w:val="21"/>
        </w:rPr>
        <w:t>Liefern und fachgerecht applizieren einer raumseitigen, optisch klaren UV-Schutzfolie (PET, mehrlagig, SR-Hardcoat) auf die vorhandene Innenverglasung. Vollflächig blasen- und einschlussfreie Verklebung, sauberer Randabschluss, Untergrundreinigung und Entsorgung der Verschnitte inklusive. Ausführung durch geschultes Fachpersonal des Bieters.</w:t>
      </w:r>
    </w:p>
    <w:p w14:paraId="796788A1" w14:textId="77777777" w:rsidR="00B35753" w:rsidRDefault="00000000">
      <w:pPr>
        <w:spacing w:before="200" w:after="80"/>
      </w:pPr>
      <w:r>
        <w:rPr>
          <w:b/>
          <w:bCs/>
          <w:color w:val="1B263B"/>
          <w:sz w:val="22"/>
          <w:szCs w:val="22"/>
        </w:rPr>
        <w:t>Technische Mindestanforderungen (Nachweis: Prüfbericht DIN EN 410 / ISO 9050)</w:t>
      </w:r>
    </w:p>
    <w:p w14:paraId="13F17330" w14:textId="77777777" w:rsidR="00B35753" w:rsidRDefault="00000000">
      <w:pPr>
        <w:pStyle w:val="Listenabsatz"/>
        <w:numPr>
          <w:ilvl w:val="0"/>
          <w:numId w:val="1"/>
        </w:numPr>
        <w:spacing w:after="40" w:line="260" w:lineRule="auto"/>
      </w:pPr>
      <w:r>
        <w:rPr>
          <w:b/>
          <w:bCs/>
          <w:color w:val="1B263B"/>
          <w:sz w:val="21"/>
          <w:szCs w:val="21"/>
        </w:rPr>
        <w:t xml:space="preserve">UV-Abweisung (300–380 nm):  </w:t>
      </w:r>
      <w:r>
        <w:rPr>
          <w:color w:val="222222"/>
          <w:sz w:val="21"/>
          <w:szCs w:val="21"/>
        </w:rPr>
        <w:t>≥ 99,5 %  (</w:t>
      </w:r>
      <w:proofErr w:type="spellStart"/>
      <w:r>
        <w:rPr>
          <w:color w:val="222222"/>
          <w:sz w:val="21"/>
          <w:szCs w:val="21"/>
        </w:rPr>
        <w:t>τUV</w:t>
      </w:r>
      <w:proofErr w:type="spellEnd"/>
      <w:r>
        <w:rPr>
          <w:color w:val="222222"/>
          <w:sz w:val="21"/>
          <w:szCs w:val="21"/>
        </w:rPr>
        <w:t xml:space="preserve"> ≤ 1 %)</w:t>
      </w:r>
    </w:p>
    <w:p w14:paraId="30DCC517" w14:textId="77777777" w:rsidR="00B35753" w:rsidRDefault="00000000">
      <w:pPr>
        <w:pStyle w:val="Listenabsatz"/>
        <w:numPr>
          <w:ilvl w:val="0"/>
          <w:numId w:val="1"/>
        </w:numPr>
        <w:spacing w:after="40" w:line="260" w:lineRule="auto"/>
      </w:pPr>
      <w:r>
        <w:rPr>
          <w:b/>
          <w:bCs/>
          <w:color w:val="1B263B"/>
          <w:sz w:val="21"/>
          <w:szCs w:val="21"/>
        </w:rPr>
        <w:t>Lichttransmission (</w:t>
      </w:r>
      <w:proofErr w:type="spellStart"/>
      <w:r>
        <w:rPr>
          <w:b/>
          <w:bCs/>
          <w:color w:val="1B263B"/>
          <w:sz w:val="21"/>
          <w:szCs w:val="21"/>
        </w:rPr>
        <w:t>τV</w:t>
      </w:r>
      <w:proofErr w:type="spellEnd"/>
      <w:r>
        <w:rPr>
          <w:b/>
          <w:bCs/>
          <w:color w:val="1B263B"/>
          <w:sz w:val="21"/>
          <w:szCs w:val="21"/>
        </w:rPr>
        <w:t xml:space="preserve">):  </w:t>
      </w:r>
      <w:r>
        <w:rPr>
          <w:color w:val="222222"/>
          <w:sz w:val="21"/>
          <w:szCs w:val="21"/>
        </w:rPr>
        <w:t>≥ 57 %  (hohe Tageslichtnutzung)</w:t>
      </w:r>
    </w:p>
    <w:p w14:paraId="2081D63A" w14:textId="77777777" w:rsidR="00B35753" w:rsidRDefault="00000000">
      <w:pPr>
        <w:pStyle w:val="Listenabsatz"/>
        <w:numPr>
          <w:ilvl w:val="0"/>
          <w:numId w:val="1"/>
        </w:numPr>
        <w:spacing w:after="40" w:line="260" w:lineRule="auto"/>
      </w:pPr>
      <w:r>
        <w:rPr>
          <w:b/>
          <w:bCs/>
          <w:color w:val="1B263B"/>
          <w:sz w:val="21"/>
          <w:szCs w:val="21"/>
        </w:rPr>
        <w:t xml:space="preserve">Sekundärer Wärmeschutz (TSER):  </w:t>
      </w:r>
      <w:r>
        <w:rPr>
          <w:color w:val="222222"/>
          <w:sz w:val="21"/>
          <w:szCs w:val="21"/>
        </w:rPr>
        <w:t>≥ 26 %</w:t>
      </w:r>
    </w:p>
    <w:p w14:paraId="300444DD" w14:textId="77777777" w:rsidR="00B35753" w:rsidRDefault="00000000">
      <w:pPr>
        <w:pStyle w:val="Listenabsatz"/>
        <w:numPr>
          <w:ilvl w:val="0"/>
          <w:numId w:val="1"/>
        </w:numPr>
        <w:spacing w:after="40" w:line="260" w:lineRule="auto"/>
      </w:pPr>
      <w:r>
        <w:rPr>
          <w:b/>
          <w:bCs/>
          <w:color w:val="1B263B"/>
          <w:sz w:val="21"/>
          <w:szCs w:val="21"/>
        </w:rPr>
        <w:t xml:space="preserve">Optik:  </w:t>
      </w:r>
      <w:r>
        <w:rPr>
          <w:color w:val="222222"/>
          <w:sz w:val="21"/>
          <w:szCs w:val="21"/>
        </w:rPr>
        <w:t>transparent, klarsichtig, farbneutral</w:t>
      </w:r>
    </w:p>
    <w:p w14:paraId="2ED2AB4D" w14:textId="77777777" w:rsidR="00B35753" w:rsidRDefault="00000000">
      <w:pPr>
        <w:pStyle w:val="Listenabsatz"/>
        <w:numPr>
          <w:ilvl w:val="0"/>
          <w:numId w:val="1"/>
        </w:numPr>
        <w:spacing w:after="40" w:line="260" w:lineRule="auto"/>
      </w:pPr>
      <w:r>
        <w:rPr>
          <w:b/>
          <w:bCs/>
          <w:color w:val="1B263B"/>
          <w:sz w:val="21"/>
          <w:szCs w:val="21"/>
        </w:rPr>
        <w:t xml:space="preserve">Verlegung:  </w:t>
      </w:r>
      <w:r>
        <w:rPr>
          <w:color w:val="222222"/>
          <w:sz w:val="21"/>
          <w:szCs w:val="21"/>
        </w:rPr>
        <w:t>innenseitig, raumseitig</w:t>
      </w:r>
    </w:p>
    <w:p w14:paraId="63027AB8" w14:textId="77777777" w:rsidR="00B35753" w:rsidRDefault="00000000">
      <w:pPr>
        <w:pStyle w:val="Listenabsatz"/>
        <w:numPr>
          <w:ilvl w:val="0"/>
          <w:numId w:val="1"/>
        </w:numPr>
        <w:spacing w:after="40" w:line="260" w:lineRule="auto"/>
      </w:pPr>
      <w:r>
        <w:rPr>
          <w:b/>
          <w:bCs/>
          <w:color w:val="1B263B"/>
          <w:sz w:val="21"/>
          <w:szCs w:val="21"/>
        </w:rPr>
        <w:t xml:space="preserve">Glaseignung:  </w:t>
      </w:r>
      <w:proofErr w:type="spellStart"/>
      <w:r>
        <w:rPr>
          <w:color w:val="222222"/>
          <w:sz w:val="21"/>
          <w:szCs w:val="21"/>
        </w:rPr>
        <w:t>Float</w:t>
      </w:r>
      <w:proofErr w:type="spellEnd"/>
      <w:r>
        <w:rPr>
          <w:color w:val="222222"/>
          <w:sz w:val="21"/>
          <w:szCs w:val="21"/>
        </w:rPr>
        <w:t xml:space="preserve"> / ESG / Isolierglas / VSG</w:t>
      </w:r>
    </w:p>
    <w:p w14:paraId="712AC533" w14:textId="77777777" w:rsidR="00B35753" w:rsidRDefault="00000000">
      <w:pPr>
        <w:pStyle w:val="Listenabsatz"/>
        <w:numPr>
          <w:ilvl w:val="0"/>
          <w:numId w:val="1"/>
        </w:numPr>
        <w:spacing w:after="40" w:line="260" w:lineRule="auto"/>
      </w:pPr>
      <w:r>
        <w:rPr>
          <w:b/>
          <w:bCs/>
          <w:color w:val="1B263B"/>
          <w:sz w:val="21"/>
          <w:szCs w:val="21"/>
        </w:rPr>
        <w:t xml:space="preserve">Materialaufbau:  </w:t>
      </w:r>
      <w:r>
        <w:rPr>
          <w:color w:val="222222"/>
          <w:sz w:val="21"/>
          <w:szCs w:val="21"/>
        </w:rPr>
        <w:t>PET, mehrlagig; Oberfläche SR-Hardcoat</w:t>
      </w:r>
    </w:p>
    <w:p w14:paraId="10DC25FF" w14:textId="77777777" w:rsidR="00B35753" w:rsidRDefault="00000000">
      <w:pPr>
        <w:pStyle w:val="Listenabsatz"/>
        <w:numPr>
          <w:ilvl w:val="0"/>
          <w:numId w:val="1"/>
        </w:numPr>
        <w:spacing w:after="40" w:line="260" w:lineRule="auto"/>
      </w:pPr>
      <w:r>
        <w:rPr>
          <w:b/>
          <w:bCs/>
          <w:color w:val="1B263B"/>
          <w:sz w:val="21"/>
          <w:szCs w:val="21"/>
        </w:rPr>
        <w:t xml:space="preserve">Gewährleistung Folienmaterial:  </w:t>
      </w:r>
      <w:r>
        <w:rPr>
          <w:color w:val="222222"/>
          <w:sz w:val="21"/>
          <w:szCs w:val="21"/>
        </w:rPr>
        <w:t>≥ 5 Jahre vertikal / ≥ 5 Jahre horizontal</w:t>
      </w:r>
    </w:p>
    <w:p w14:paraId="68AA73D6" w14:textId="77777777" w:rsidR="00B35753" w:rsidRDefault="00B35753">
      <w:pPr>
        <w:spacing w:after="60"/>
      </w:pPr>
    </w:p>
    <w:tbl>
      <w:tblPr>
        <w:tblW w:w="5000" w:type="pct"/>
        <w:tblBorders>
          <w:top w:val="single" w:sz="4" w:space="0" w:color="1B263B"/>
          <w:left w:val="single" w:sz="18" w:space="0" w:color="1B263B"/>
          <w:bottom w:val="single" w:sz="4" w:space="0" w:color="1B263B"/>
          <w:right w:val="single" w:sz="4" w:space="0" w:color="1B263B"/>
        </w:tblBorders>
        <w:tblCellMar>
          <w:left w:w="10" w:type="dxa"/>
          <w:right w:w="10" w:type="dxa"/>
        </w:tblCellMar>
        <w:tblLook w:val="04A0" w:firstRow="1" w:lastRow="0" w:firstColumn="1" w:lastColumn="0" w:noHBand="0" w:noVBand="1"/>
      </w:tblPr>
      <w:tblGrid>
        <w:gridCol w:w="9678"/>
      </w:tblGrid>
      <w:tr w:rsidR="00B35753" w14:paraId="7B41FF8F" w14:textId="77777777">
        <w:tblPrEx>
          <w:tblCellMar>
            <w:top w:w="0" w:type="dxa"/>
            <w:bottom w:w="0" w:type="dxa"/>
          </w:tblCellMar>
        </w:tblPrEx>
        <w:tc>
          <w:tcPr>
            <w:tcW w:w="0" w:type="auto"/>
            <w:shd w:val="clear" w:color="auto" w:fill="EDEFF3"/>
            <w:tcMar>
              <w:top w:w="120" w:type="dxa"/>
              <w:left w:w="180" w:type="dxa"/>
              <w:bottom w:w="120" w:type="dxa"/>
              <w:right w:w="180" w:type="dxa"/>
            </w:tcMar>
          </w:tcPr>
          <w:p w14:paraId="6E2ACE87" w14:textId="77777777" w:rsidR="00B35753" w:rsidRDefault="00000000">
            <w:pPr>
              <w:spacing w:after="120" w:line="264" w:lineRule="auto"/>
            </w:pPr>
            <w:r>
              <w:rPr>
                <w:b/>
                <w:bCs/>
                <w:color w:val="1B263B"/>
                <w:sz w:val="21"/>
                <w:szCs w:val="21"/>
              </w:rPr>
              <w:t xml:space="preserve">Leitfabrikat: </w:t>
            </w:r>
            <w:r>
              <w:rPr>
                <w:b/>
                <w:bCs/>
                <w:sz w:val="21"/>
                <w:szCs w:val="21"/>
              </w:rPr>
              <w:t xml:space="preserve">FolienDock »BernsteinDock A96« (Art. BDF-A96-INT) </w:t>
            </w:r>
            <w:r>
              <w:rPr>
                <w:i/>
                <w:iCs/>
                <w:sz w:val="21"/>
                <w:szCs w:val="21"/>
              </w:rPr>
              <w:t>oder gleichwertig.</w:t>
            </w:r>
          </w:p>
        </w:tc>
      </w:tr>
    </w:tbl>
    <w:p w14:paraId="2DF60E28" w14:textId="77777777" w:rsidR="00B35753" w:rsidRDefault="00B35753">
      <w:pPr>
        <w:spacing w:after="120"/>
      </w:pPr>
    </w:p>
    <w:p w14:paraId="5389DC16" w14:textId="77777777" w:rsidR="00B35753" w:rsidRDefault="00000000">
      <w:pPr>
        <w:spacing w:before="200" w:after="80"/>
      </w:pPr>
      <w:r>
        <w:rPr>
          <w:b/>
          <w:bCs/>
          <w:color w:val="1B263B"/>
          <w:sz w:val="22"/>
          <w:szCs w:val="22"/>
        </w:rPr>
        <w:t>B – Eignungs- und Bieternachweise (mit dem Angebot vorzulegen)</w:t>
      </w:r>
    </w:p>
    <w:p w14:paraId="6ACD23BD" w14:textId="77777777" w:rsidR="00B35753" w:rsidRDefault="00000000">
      <w:pPr>
        <w:pStyle w:val="Listenabsatz"/>
        <w:numPr>
          <w:ilvl w:val="0"/>
          <w:numId w:val="1"/>
        </w:numPr>
        <w:spacing w:after="40" w:line="260" w:lineRule="auto"/>
      </w:pPr>
      <w:r>
        <w:rPr>
          <w:color w:val="222222"/>
          <w:sz w:val="21"/>
          <w:szCs w:val="21"/>
        </w:rPr>
        <w:t>Prüfbericht nach DIN EN 410 / ISO 9050 mit ausgewiesenem UV-Schutzgrad ≥ 99,5 % für das angebotene Fabrikat.</w:t>
      </w:r>
    </w:p>
    <w:p w14:paraId="5AE0EB24" w14:textId="77777777" w:rsidR="00B35753" w:rsidRDefault="00000000">
      <w:pPr>
        <w:pStyle w:val="Listenabsatz"/>
        <w:numPr>
          <w:ilvl w:val="0"/>
          <w:numId w:val="1"/>
        </w:numPr>
        <w:spacing w:after="40" w:line="260" w:lineRule="auto"/>
      </w:pPr>
      <w:r>
        <w:rPr>
          <w:color w:val="222222"/>
          <w:sz w:val="21"/>
          <w:szCs w:val="21"/>
        </w:rPr>
        <w:t>Herstellerdatenblatt (Museumsklasse) mit Angaben zu Lichttransmission und Farbneutralität.</w:t>
      </w:r>
    </w:p>
    <w:p w14:paraId="01A9AA0F" w14:textId="77777777" w:rsidR="00B35753" w:rsidRDefault="00000000">
      <w:pPr>
        <w:pStyle w:val="Listenabsatz"/>
        <w:numPr>
          <w:ilvl w:val="0"/>
          <w:numId w:val="1"/>
        </w:numPr>
        <w:spacing w:after="40" w:line="260" w:lineRule="auto"/>
      </w:pPr>
      <w:r>
        <w:rPr>
          <w:color w:val="222222"/>
          <w:sz w:val="21"/>
          <w:szCs w:val="21"/>
        </w:rPr>
        <w:t>Referenznachweis konservatorisch sensibler Objekte (z. B. Ausstellung, Archiv, Sammlung).</w:t>
      </w:r>
    </w:p>
    <w:p w14:paraId="64EDBD17" w14:textId="77777777" w:rsidR="00B35753" w:rsidRDefault="00000000">
      <w:pPr>
        <w:pStyle w:val="Listenabsatz"/>
        <w:numPr>
          <w:ilvl w:val="0"/>
          <w:numId w:val="1"/>
        </w:numPr>
        <w:spacing w:after="40" w:line="260" w:lineRule="auto"/>
      </w:pPr>
      <w:r>
        <w:rPr>
          <w:color w:val="222222"/>
          <w:sz w:val="21"/>
          <w:szCs w:val="21"/>
        </w:rPr>
        <w:t>Nachweis geschulter, eigener Montageteams.</w:t>
      </w:r>
    </w:p>
    <w:p w14:paraId="0F7C0BAD" w14:textId="77777777" w:rsidR="00B35753" w:rsidRDefault="00000000">
      <w:r>
        <w:br w:type="page"/>
      </w:r>
    </w:p>
    <w:p w14:paraId="24D8B581" w14:textId="77777777" w:rsidR="00B35753" w:rsidRDefault="00000000">
      <w:pPr>
        <w:pBdr>
          <w:bottom w:val="single" w:sz="8" w:space="6" w:color="D4AF37"/>
        </w:pBdr>
        <w:spacing w:before="300" w:after="100"/>
      </w:pPr>
      <w:r>
        <w:rPr>
          <w:b/>
          <w:bCs/>
          <w:color w:val="B8860B"/>
          <w:sz w:val="26"/>
          <w:szCs w:val="26"/>
        </w:rPr>
        <w:lastRenderedPageBreak/>
        <w:t xml:space="preserve">LV-Block C  </w:t>
      </w:r>
      <w:r>
        <w:rPr>
          <w:b/>
          <w:bCs/>
          <w:color w:val="1B263B"/>
          <w:sz w:val="26"/>
          <w:szCs w:val="26"/>
        </w:rPr>
        <w:t>Splitter- &amp; Sicherheitsschutzfolie, innenliegend</w:t>
      </w:r>
    </w:p>
    <w:p w14:paraId="28B7DE8C" w14:textId="77777777" w:rsidR="00B35753" w:rsidRDefault="00000000">
      <w:pPr>
        <w:spacing w:after="120" w:line="264" w:lineRule="auto"/>
      </w:pPr>
      <w:r>
        <w:rPr>
          <w:color w:val="222222"/>
          <w:sz w:val="21"/>
          <w:szCs w:val="21"/>
        </w:rPr>
        <w:t>Leistungsbereich: Durchwurfhemmung, Splitterbindung und Grundschutz gegen Einbruch und Vandalismus an gefährdeten Glasflächen (Erdgeschoss, Schulen, öffentliche Gebäude, Hochrisikobereiche).</w:t>
      </w:r>
    </w:p>
    <w:p w14:paraId="30E15BAE" w14:textId="77777777" w:rsidR="00B35753" w:rsidRDefault="00000000">
      <w:pPr>
        <w:spacing w:before="200" w:after="80"/>
      </w:pPr>
      <w:r>
        <w:rPr>
          <w:b/>
          <w:bCs/>
          <w:color w:val="1B263B"/>
          <w:sz w:val="22"/>
          <w:szCs w:val="22"/>
        </w:rPr>
        <w:t>C.0  Vorbemerkung zum Titel</w:t>
      </w:r>
    </w:p>
    <w:tbl>
      <w:tblPr>
        <w:tblW w:w="5000" w:type="pct"/>
        <w:tblBorders>
          <w:top w:val="single" w:sz="4" w:space="0" w:color="D4AF37"/>
          <w:left w:val="single" w:sz="18" w:space="0" w:color="D4AF37"/>
          <w:bottom w:val="single" w:sz="4" w:space="0" w:color="D4AF37"/>
          <w:right w:val="single" w:sz="4" w:space="0" w:color="D4AF37"/>
        </w:tblBorders>
        <w:tblCellMar>
          <w:left w:w="10" w:type="dxa"/>
          <w:right w:w="10" w:type="dxa"/>
        </w:tblCellMar>
        <w:tblLook w:val="04A0" w:firstRow="1" w:lastRow="0" w:firstColumn="1" w:lastColumn="0" w:noHBand="0" w:noVBand="1"/>
      </w:tblPr>
      <w:tblGrid>
        <w:gridCol w:w="9678"/>
      </w:tblGrid>
      <w:tr w:rsidR="00B35753" w14:paraId="6321CBAE" w14:textId="77777777">
        <w:tblPrEx>
          <w:tblCellMar>
            <w:top w:w="0" w:type="dxa"/>
            <w:bottom w:w="0" w:type="dxa"/>
          </w:tblCellMar>
        </w:tblPrEx>
        <w:tc>
          <w:tcPr>
            <w:tcW w:w="0" w:type="auto"/>
            <w:shd w:val="clear" w:color="auto" w:fill="F2F4F7"/>
            <w:tcMar>
              <w:top w:w="120" w:type="dxa"/>
              <w:left w:w="180" w:type="dxa"/>
              <w:bottom w:w="120" w:type="dxa"/>
              <w:right w:w="180" w:type="dxa"/>
            </w:tcMar>
          </w:tcPr>
          <w:p w14:paraId="5086EC3D" w14:textId="77777777" w:rsidR="00B35753" w:rsidRDefault="00000000">
            <w:pPr>
              <w:spacing w:after="120" w:line="264" w:lineRule="auto"/>
            </w:pPr>
            <w:r>
              <w:rPr>
                <w:sz w:val="21"/>
                <w:szCs w:val="21"/>
              </w:rPr>
              <w:t>Zu liefern und raumseitig zu applizieren ist eine hochfeste, mehrlagige Sicherheits-/Splitterschutzfolie mit definierter Widerstandsklasse nach DIN EN 356. Die Folie bindet bei Glasbruch die Splitter (keine freie Scherbenwirkung) und verzögert das Durchschlagen der Scheibe. Ausführung raumseitig auf der Bestandsverglasung; Klassen gestaffelt nach Schutzbedarf.</w:t>
            </w:r>
          </w:p>
        </w:tc>
      </w:tr>
    </w:tbl>
    <w:p w14:paraId="228FC527" w14:textId="77777777" w:rsidR="00B35753" w:rsidRDefault="00B35753">
      <w:pPr>
        <w:spacing w:after="100"/>
      </w:pPr>
    </w:p>
    <w:tbl>
      <w:tblPr>
        <w:tblW w:w="5000" w:type="pct"/>
        <w:tblCellMar>
          <w:left w:w="10" w:type="dxa"/>
          <w:right w:w="10" w:type="dxa"/>
        </w:tblCellMar>
        <w:tblLook w:val="04A0" w:firstRow="1" w:lastRow="0" w:firstColumn="1" w:lastColumn="0" w:noHBand="0" w:noVBand="1"/>
      </w:tblPr>
      <w:tblGrid>
        <w:gridCol w:w="2778"/>
        <w:gridCol w:w="2515"/>
        <w:gridCol w:w="4413"/>
      </w:tblGrid>
      <w:tr w:rsidR="00B35753" w14:paraId="777FCD73" w14:textId="77777777">
        <w:tblPrEx>
          <w:tblCellMar>
            <w:top w:w="0" w:type="dxa"/>
            <w:bottom w:w="0" w:type="dxa"/>
          </w:tblCellMar>
        </w:tblPrEx>
        <w:trPr>
          <w:gridAfter w:val="2"/>
          <w:wAfter w:w="9904" w:type="dxa"/>
        </w:trPr>
        <w:tc>
          <w:tcPr>
            <w:tcW w:w="0" w:type="auto"/>
            <w:shd w:val="clear" w:color="auto" w:fill="1B263B"/>
            <w:tcMar>
              <w:top w:w="90" w:type="dxa"/>
              <w:left w:w="160" w:type="dxa"/>
              <w:bottom w:w="90" w:type="dxa"/>
              <w:right w:w="160" w:type="dxa"/>
            </w:tcMar>
          </w:tcPr>
          <w:p w14:paraId="008B3513" w14:textId="77777777" w:rsidR="00B35753" w:rsidRDefault="00000000">
            <w:r>
              <w:rPr>
                <w:b/>
                <w:bCs/>
                <w:color w:val="D4AF37"/>
                <w:sz w:val="22"/>
                <w:szCs w:val="22"/>
              </w:rPr>
              <w:t xml:space="preserve">Pos. C.01   </w:t>
            </w:r>
            <w:r>
              <w:rPr>
                <w:b/>
                <w:bCs/>
                <w:color w:val="FFFFFF"/>
                <w:sz w:val="22"/>
                <w:szCs w:val="22"/>
              </w:rPr>
              <w:t>Splitterschutzfolie P2A nach DIN EN 356, innenliegend</w:t>
            </w:r>
          </w:p>
        </w:tc>
      </w:tr>
      <w:tr w:rsidR="00B35753" w14:paraId="78E7FC26" w14:textId="77777777">
        <w:tblPrEx>
          <w:tblBorders>
            <w:top w:val="single" w:sz="4" w:space="0" w:color="C9CDD3"/>
            <w:left w:val="single" w:sz="4" w:space="0" w:color="C9CDD3"/>
            <w:bottom w:val="single" w:sz="4" w:space="0" w:color="C9CDD3"/>
            <w:right w:val="single" w:sz="4" w:space="0" w:color="C9CDD3"/>
            <w:insideH w:val="single" w:sz="4" w:space="0" w:color="C9CDD3"/>
            <w:insideV w:val="single" w:sz="4" w:space="0" w:color="C9CDD3"/>
          </w:tblBorders>
          <w:tblCellMar>
            <w:top w:w="0" w:type="dxa"/>
            <w:bottom w:w="0" w:type="dxa"/>
          </w:tblCellMar>
        </w:tblPrEx>
        <w:tc>
          <w:tcPr>
            <w:tcW w:w="3333" w:type="dxa"/>
            <w:shd w:val="clear" w:color="auto" w:fill="FFFFFF"/>
            <w:tcMar>
              <w:top w:w="80" w:type="dxa"/>
              <w:left w:w="120" w:type="dxa"/>
              <w:bottom w:w="80" w:type="dxa"/>
              <w:right w:w="120" w:type="dxa"/>
            </w:tcMar>
          </w:tcPr>
          <w:p w14:paraId="7CF9B3C7" w14:textId="77777777" w:rsidR="00B35753" w:rsidRDefault="00000000">
            <w:pPr>
              <w:spacing w:after="20"/>
            </w:pPr>
            <w:r>
              <w:rPr>
                <w:b/>
                <w:bCs/>
                <w:color w:val="1B263B"/>
                <w:sz w:val="18"/>
                <w:szCs w:val="18"/>
              </w:rPr>
              <w:t>MENGE</w:t>
            </w:r>
          </w:p>
          <w:p w14:paraId="1272E08B" w14:textId="77777777" w:rsidR="00B35753" w:rsidRDefault="00000000">
            <w:r>
              <w:rPr>
                <w:color w:val="555555"/>
              </w:rPr>
              <w:t>.............. m²</w:t>
            </w:r>
          </w:p>
        </w:tc>
        <w:tc>
          <w:tcPr>
            <w:tcW w:w="3333" w:type="dxa"/>
            <w:shd w:val="clear" w:color="auto" w:fill="FFFFFF"/>
            <w:tcMar>
              <w:top w:w="80" w:type="dxa"/>
              <w:left w:w="120" w:type="dxa"/>
              <w:bottom w:w="80" w:type="dxa"/>
              <w:right w:w="120" w:type="dxa"/>
            </w:tcMar>
          </w:tcPr>
          <w:p w14:paraId="5C1CE2BA" w14:textId="77777777" w:rsidR="00B35753" w:rsidRDefault="00000000">
            <w:pPr>
              <w:spacing w:after="20"/>
            </w:pPr>
            <w:r>
              <w:rPr>
                <w:b/>
                <w:bCs/>
                <w:color w:val="1B263B"/>
                <w:sz w:val="18"/>
                <w:szCs w:val="18"/>
              </w:rPr>
              <w:t>EINHEITSPREIS</w:t>
            </w:r>
          </w:p>
          <w:p w14:paraId="5B32D62E" w14:textId="77777777" w:rsidR="00B35753" w:rsidRDefault="00000000">
            <w:r>
              <w:rPr>
                <w:color w:val="555555"/>
              </w:rPr>
              <w:t>.............. €/m²</w:t>
            </w:r>
          </w:p>
        </w:tc>
        <w:tc>
          <w:tcPr>
            <w:tcW w:w="3333" w:type="dxa"/>
            <w:shd w:val="clear" w:color="auto" w:fill="FFFFFF"/>
            <w:tcMar>
              <w:top w:w="80" w:type="dxa"/>
              <w:left w:w="120" w:type="dxa"/>
              <w:bottom w:w="80" w:type="dxa"/>
              <w:right w:w="120" w:type="dxa"/>
            </w:tcMar>
          </w:tcPr>
          <w:p w14:paraId="484F9008" w14:textId="77777777" w:rsidR="00B35753" w:rsidRDefault="00000000">
            <w:pPr>
              <w:spacing w:after="20"/>
            </w:pPr>
            <w:r>
              <w:rPr>
                <w:b/>
                <w:bCs/>
                <w:color w:val="1B263B"/>
                <w:sz w:val="18"/>
                <w:szCs w:val="18"/>
              </w:rPr>
              <w:t>GESAMTPREIS</w:t>
            </w:r>
          </w:p>
          <w:p w14:paraId="2F555D45" w14:textId="77777777" w:rsidR="00B35753" w:rsidRDefault="00000000">
            <w:r>
              <w:rPr>
                <w:color w:val="555555"/>
              </w:rPr>
              <w:t>.............. €</w:t>
            </w:r>
          </w:p>
        </w:tc>
      </w:tr>
    </w:tbl>
    <w:p w14:paraId="76C14712" w14:textId="77777777" w:rsidR="00B35753" w:rsidRDefault="00B35753">
      <w:pPr>
        <w:spacing w:after="80"/>
      </w:pPr>
    </w:p>
    <w:p w14:paraId="6FD074BF" w14:textId="77777777" w:rsidR="00B35753" w:rsidRDefault="00000000">
      <w:pPr>
        <w:spacing w:before="200" w:after="80"/>
      </w:pPr>
      <w:r>
        <w:rPr>
          <w:b/>
          <w:bCs/>
          <w:color w:val="1B263B"/>
          <w:sz w:val="22"/>
          <w:szCs w:val="22"/>
        </w:rPr>
        <w:t>Langtext</w:t>
      </w:r>
    </w:p>
    <w:p w14:paraId="2B1BC34A" w14:textId="77777777" w:rsidR="00B35753" w:rsidRDefault="00000000">
      <w:pPr>
        <w:spacing w:after="120" w:line="264" w:lineRule="auto"/>
      </w:pPr>
      <w:r>
        <w:rPr>
          <w:color w:val="222222"/>
          <w:sz w:val="21"/>
          <w:szCs w:val="21"/>
        </w:rPr>
        <w:t>Liefern und fachgerecht applizieren einer raumseitigen, hochfesten Splitterschutzfolie (PET, mehrlagig, 300 µm, SR-Hardcoat) mit Widerstandsklasse P2A nach DIN EN 356 auf die vorhandene Verglasung. Vollflächige, blasenfreie Verklebung mit definiertem Randanschluss; auf Wunsch mit umlaufender Rahmenversiegelung zur Erhöhung des Verbunds. Untergrundreinigung und Entsorgung inklusive. Ausführung durch geschultes Fachpersonal des Bieters.</w:t>
      </w:r>
    </w:p>
    <w:p w14:paraId="631FCA1E" w14:textId="77777777" w:rsidR="00B35753" w:rsidRDefault="00000000">
      <w:pPr>
        <w:spacing w:before="200" w:after="80"/>
      </w:pPr>
      <w:r>
        <w:rPr>
          <w:b/>
          <w:bCs/>
          <w:color w:val="1B263B"/>
          <w:sz w:val="22"/>
          <w:szCs w:val="22"/>
        </w:rPr>
        <w:t>Technische Mindestanforderungen (Nachweis: Klassifizierung DIN EN 356 sowie DIN EN 410 / ISO 9050)</w:t>
      </w:r>
    </w:p>
    <w:p w14:paraId="5599D1BD" w14:textId="77777777" w:rsidR="00B35753" w:rsidRDefault="00000000">
      <w:pPr>
        <w:pStyle w:val="Listenabsatz"/>
        <w:numPr>
          <w:ilvl w:val="0"/>
          <w:numId w:val="1"/>
        </w:numPr>
        <w:spacing w:after="40" w:line="260" w:lineRule="auto"/>
      </w:pPr>
      <w:r>
        <w:rPr>
          <w:b/>
          <w:bCs/>
          <w:color w:val="1B263B"/>
          <w:sz w:val="21"/>
          <w:szCs w:val="21"/>
        </w:rPr>
        <w:t xml:space="preserve">Widerstandsklasse (Durchwurfhemmung):  </w:t>
      </w:r>
      <w:r>
        <w:rPr>
          <w:color w:val="222222"/>
          <w:sz w:val="21"/>
          <w:szCs w:val="21"/>
        </w:rPr>
        <w:t>mind. P2A nach DIN EN 356</w:t>
      </w:r>
    </w:p>
    <w:p w14:paraId="09102EA2" w14:textId="77777777" w:rsidR="00B35753" w:rsidRDefault="00000000">
      <w:pPr>
        <w:pStyle w:val="Listenabsatz"/>
        <w:numPr>
          <w:ilvl w:val="0"/>
          <w:numId w:val="1"/>
        </w:numPr>
        <w:spacing w:after="40" w:line="260" w:lineRule="auto"/>
      </w:pPr>
      <w:r>
        <w:rPr>
          <w:b/>
          <w:bCs/>
          <w:color w:val="1B263B"/>
          <w:sz w:val="21"/>
          <w:szCs w:val="21"/>
        </w:rPr>
        <w:t xml:space="preserve">Foliendicke:  </w:t>
      </w:r>
      <w:r>
        <w:rPr>
          <w:color w:val="222222"/>
          <w:sz w:val="21"/>
          <w:szCs w:val="21"/>
        </w:rPr>
        <w:t>≥ 300 µm</w:t>
      </w:r>
    </w:p>
    <w:p w14:paraId="4CD9B0B4" w14:textId="77777777" w:rsidR="00B35753" w:rsidRDefault="00000000">
      <w:pPr>
        <w:pStyle w:val="Listenabsatz"/>
        <w:numPr>
          <w:ilvl w:val="0"/>
          <w:numId w:val="1"/>
        </w:numPr>
        <w:spacing w:after="40" w:line="260" w:lineRule="auto"/>
      </w:pPr>
      <w:r>
        <w:rPr>
          <w:b/>
          <w:bCs/>
          <w:color w:val="1B263B"/>
          <w:sz w:val="21"/>
          <w:szCs w:val="21"/>
        </w:rPr>
        <w:t xml:space="preserve">Splitterbindung:  </w:t>
      </w:r>
      <w:r>
        <w:rPr>
          <w:color w:val="222222"/>
          <w:sz w:val="21"/>
          <w:szCs w:val="21"/>
        </w:rPr>
        <w:t>ja — keine freie Scherbenwirkung bei Bruch</w:t>
      </w:r>
    </w:p>
    <w:p w14:paraId="565CB78A" w14:textId="77777777" w:rsidR="00B35753" w:rsidRDefault="00000000">
      <w:pPr>
        <w:pStyle w:val="Listenabsatz"/>
        <w:numPr>
          <w:ilvl w:val="0"/>
          <w:numId w:val="1"/>
        </w:numPr>
        <w:spacing w:after="40" w:line="260" w:lineRule="auto"/>
      </w:pPr>
      <w:r>
        <w:rPr>
          <w:b/>
          <w:bCs/>
          <w:color w:val="1B263B"/>
          <w:sz w:val="21"/>
          <w:szCs w:val="21"/>
        </w:rPr>
        <w:t>Lichttransmission (</w:t>
      </w:r>
      <w:proofErr w:type="spellStart"/>
      <w:r>
        <w:rPr>
          <w:b/>
          <w:bCs/>
          <w:color w:val="1B263B"/>
          <w:sz w:val="21"/>
          <w:szCs w:val="21"/>
        </w:rPr>
        <w:t>τV</w:t>
      </w:r>
      <w:proofErr w:type="spellEnd"/>
      <w:r>
        <w:rPr>
          <w:b/>
          <w:bCs/>
          <w:color w:val="1B263B"/>
          <w:sz w:val="21"/>
          <w:szCs w:val="21"/>
        </w:rPr>
        <w:t xml:space="preserve">):  </w:t>
      </w:r>
      <w:r>
        <w:rPr>
          <w:color w:val="222222"/>
          <w:sz w:val="21"/>
          <w:szCs w:val="21"/>
        </w:rPr>
        <w:t>≥ 92 %  (glasklar)</w:t>
      </w:r>
    </w:p>
    <w:p w14:paraId="3DFA1448" w14:textId="77777777" w:rsidR="00B35753" w:rsidRDefault="00000000">
      <w:pPr>
        <w:pStyle w:val="Listenabsatz"/>
        <w:numPr>
          <w:ilvl w:val="0"/>
          <w:numId w:val="1"/>
        </w:numPr>
        <w:spacing w:after="40" w:line="260" w:lineRule="auto"/>
      </w:pPr>
      <w:r>
        <w:rPr>
          <w:b/>
          <w:bCs/>
          <w:color w:val="1B263B"/>
          <w:sz w:val="21"/>
          <w:szCs w:val="21"/>
        </w:rPr>
        <w:t xml:space="preserve">UV-Abweisung (300–380 nm):  </w:t>
      </w:r>
      <w:r>
        <w:rPr>
          <w:color w:val="222222"/>
          <w:sz w:val="21"/>
          <w:szCs w:val="21"/>
        </w:rPr>
        <w:t>≥ 99 %</w:t>
      </w:r>
    </w:p>
    <w:p w14:paraId="3DE8DE41" w14:textId="77777777" w:rsidR="00B35753" w:rsidRDefault="00000000">
      <w:pPr>
        <w:pStyle w:val="Listenabsatz"/>
        <w:numPr>
          <w:ilvl w:val="0"/>
          <w:numId w:val="1"/>
        </w:numPr>
        <w:spacing w:after="40" w:line="260" w:lineRule="auto"/>
      </w:pPr>
      <w:r>
        <w:rPr>
          <w:b/>
          <w:bCs/>
          <w:color w:val="1B263B"/>
          <w:sz w:val="21"/>
          <w:szCs w:val="21"/>
        </w:rPr>
        <w:t xml:space="preserve">Verlegung:  </w:t>
      </w:r>
      <w:r>
        <w:rPr>
          <w:color w:val="222222"/>
          <w:sz w:val="21"/>
          <w:szCs w:val="21"/>
        </w:rPr>
        <w:t>innenseitig, raumseitig</w:t>
      </w:r>
    </w:p>
    <w:p w14:paraId="29A3441F" w14:textId="77777777" w:rsidR="00B35753" w:rsidRDefault="00000000">
      <w:pPr>
        <w:pStyle w:val="Listenabsatz"/>
        <w:numPr>
          <w:ilvl w:val="0"/>
          <w:numId w:val="1"/>
        </w:numPr>
        <w:spacing w:after="40" w:line="260" w:lineRule="auto"/>
      </w:pPr>
      <w:r>
        <w:rPr>
          <w:b/>
          <w:bCs/>
          <w:color w:val="1B263B"/>
          <w:sz w:val="21"/>
          <w:szCs w:val="21"/>
        </w:rPr>
        <w:t xml:space="preserve">Glaseignung:  </w:t>
      </w:r>
      <w:proofErr w:type="spellStart"/>
      <w:r>
        <w:rPr>
          <w:color w:val="222222"/>
          <w:sz w:val="21"/>
          <w:szCs w:val="21"/>
        </w:rPr>
        <w:t>Float</w:t>
      </w:r>
      <w:proofErr w:type="spellEnd"/>
      <w:r>
        <w:rPr>
          <w:color w:val="222222"/>
          <w:sz w:val="21"/>
          <w:szCs w:val="21"/>
        </w:rPr>
        <w:t xml:space="preserve"> / ESG / Isolierglas / VSG</w:t>
      </w:r>
    </w:p>
    <w:p w14:paraId="7779314D" w14:textId="77777777" w:rsidR="00B35753" w:rsidRDefault="00000000">
      <w:pPr>
        <w:pStyle w:val="Listenabsatz"/>
        <w:numPr>
          <w:ilvl w:val="0"/>
          <w:numId w:val="1"/>
        </w:numPr>
        <w:spacing w:after="40" w:line="260" w:lineRule="auto"/>
      </w:pPr>
      <w:r>
        <w:rPr>
          <w:b/>
          <w:bCs/>
          <w:color w:val="1B263B"/>
          <w:sz w:val="21"/>
          <w:szCs w:val="21"/>
        </w:rPr>
        <w:t xml:space="preserve">Gewährleistung Folienmaterial:  </w:t>
      </w:r>
      <w:r>
        <w:rPr>
          <w:color w:val="222222"/>
          <w:sz w:val="21"/>
          <w:szCs w:val="21"/>
        </w:rPr>
        <w:t>≥ 10 Jahre vertikal / ≥ 10 Jahre horizontal</w:t>
      </w:r>
    </w:p>
    <w:p w14:paraId="7F654138" w14:textId="77777777" w:rsidR="00B35753" w:rsidRDefault="00B35753">
      <w:pPr>
        <w:spacing w:after="60"/>
      </w:pPr>
    </w:p>
    <w:tbl>
      <w:tblPr>
        <w:tblW w:w="5000" w:type="pct"/>
        <w:tblBorders>
          <w:top w:val="single" w:sz="4" w:space="0" w:color="1B263B"/>
          <w:left w:val="single" w:sz="18" w:space="0" w:color="1B263B"/>
          <w:bottom w:val="single" w:sz="4" w:space="0" w:color="1B263B"/>
          <w:right w:val="single" w:sz="4" w:space="0" w:color="1B263B"/>
        </w:tblBorders>
        <w:tblCellMar>
          <w:left w:w="10" w:type="dxa"/>
          <w:right w:w="10" w:type="dxa"/>
        </w:tblCellMar>
        <w:tblLook w:val="04A0" w:firstRow="1" w:lastRow="0" w:firstColumn="1" w:lastColumn="0" w:noHBand="0" w:noVBand="1"/>
      </w:tblPr>
      <w:tblGrid>
        <w:gridCol w:w="9678"/>
      </w:tblGrid>
      <w:tr w:rsidR="00B35753" w14:paraId="62C3C60E" w14:textId="77777777">
        <w:tblPrEx>
          <w:tblCellMar>
            <w:top w:w="0" w:type="dxa"/>
            <w:bottom w:w="0" w:type="dxa"/>
          </w:tblCellMar>
        </w:tblPrEx>
        <w:tc>
          <w:tcPr>
            <w:tcW w:w="0" w:type="auto"/>
            <w:shd w:val="clear" w:color="auto" w:fill="EDEFF3"/>
            <w:tcMar>
              <w:top w:w="120" w:type="dxa"/>
              <w:left w:w="180" w:type="dxa"/>
              <w:bottom w:w="120" w:type="dxa"/>
              <w:right w:w="180" w:type="dxa"/>
            </w:tcMar>
          </w:tcPr>
          <w:p w14:paraId="6A83F10F" w14:textId="77777777" w:rsidR="00B35753" w:rsidRDefault="00000000">
            <w:pPr>
              <w:spacing w:after="120" w:line="264" w:lineRule="auto"/>
            </w:pPr>
            <w:r>
              <w:rPr>
                <w:b/>
                <w:bCs/>
                <w:color w:val="1B263B"/>
                <w:sz w:val="21"/>
                <w:szCs w:val="21"/>
              </w:rPr>
              <w:t xml:space="preserve">Leitfabrikat: </w:t>
            </w:r>
            <w:r>
              <w:rPr>
                <w:b/>
                <w:bCs/>
                <w:sz w:val="21"/>
                <w:szCs w:val="21"/>
              </w:rPr>
              <w:t xml:space="preserve">FolienDock »AnkerDock Fortress P2A« (Art. ADF-300-INT) </w:t>
            </w:r>
            <w:r>
              <w:rPr>
                <w:i/>
                <w:iCs/>
                <w:sz w:val="21"/>
                <w:szCs w:val="21"/>
              </w:rPr>
              <w:t>oder gleichwertig.</w:t>
            </w:r>
          </w:p>
        </w:tc>
      </w:tr>
    </w:tbl>
    <w:p w14:paraId="0B91FFB9" w14:textId="77777777" w:rsidR="00B35753" w:rsidRDefault="00B35753">
      <w:pPr>
        <w:spacing w:after="120"/>
      </w:pPr>
    </w:p>
    <w:p w14:paraId="7B0C209D" w14:textId="77777777" w:rsidR="00B35753" w:rsidRDefault="00000000">
      <w:pPr>
        <w:spacing w:before="200" w:after="80"/>
      </w:pPr>
      <w:r>
        <w:rPr>
          <w:b/>
          <w:bCs/>
          <w:color w:val="1B263B"/>
          <w:sz w:val="22"/>
          <w:szCs w:val="22"/>
        </w:rPr>
        <w:t>C.02  Bedarfs-/Alternativpositionen — höhere Schutzstufen</w:t>
      </w:r>
    </w:p>
    <w:p w14:paraId="1B4C2105" w14:textId="77777777" w:rsidR="00B35753" w:rsidRDefault="00000000">
      <w:pPr>
        <w:spacing w:after="120" w:line="264" w:lineRule="auto"/>
      </w:pPr>
      <w:r>
        <w:rPr>
          <w:color w:val="222222"/>
          <w:sz w:val="21"/>
          <w:szCs w:val="21"/>
        </w:rPr>
        <w:t>Sofern ein erhöhter Schutzbedarf besteht, sind die Positionen als gestaffelte Alternativpositionen auszuschreiben. Der Aufbau (raumseitig, hochfestes PET, SR-Hardcoat, Lichttransmission ≥ 92 %, UV ≥ 99 %, Gewährleistung 10/10 Jahre) bleibt identisch; es steigt die Materialstärke bzw. Schutzstufe:</w:t>
      </w:r>
    </w:p>
    <w:p w14:paraId="529B8B91" w14:textId="77777777" w:rsidR="00B35753" w:rsidRDefault="00000000">
      <w:pPr>
        <w:pStyle w:val="Listenabsatz"/>
        <w:numPr>
          <w:ilvl w:val="0"/>
          <w:numId w:val="1"/>
        </w:numPr>
        <w:spacing w:after="40" w:line="260" w:lineRule="auto"/>
      </w:pPr>
      <w:r>
        <w:rPr>
          <w:b/>
          <w:bCs/>
          <w:color w:val="1B263B"/>
          <w:sz w:val="21"/>
          <w:szCs w:val="21"/>
        </w:rPr>
        <w:t xml:space="preserve">Alt. 1 — </w:t>
      </w:r>
      <w:r>
        <w:rPr>
          <w:sz w:val="21"/>
          <w:szCs w:val="21"/>
        </w:rPr>
        <w:t>Splitterschutz P2A verstärkt, Foliendicke ≥ 375 µm. Leitfabrikat: FolienDock »AnkerDock Fortress Extreme« (ADF-375-INT) oder gleichwertig.</w:t>
      </w:r>
    </w:p>
    <w:p w14:paraId="34460FD8" w14:textId="77777777" w:rsidR="00B35753" w:rsidRDefault="00000000">
      <w:pPr>
        <w:pStyle w:val="Listenabsatz"/>
        <w:numPr>
          <w:ilvl w:val="0"/>
          <w:numId w:val="1"/>
        </w:numPr>
        <w:spacing w:after="40" w:line="260" w:lineRule="auto"/>
      </w:pPr>
      <w:r>
        <w:rPr>
          <w:b/>
          <w:bCs/>
          <w:color w:val="1B263B"/>
          <w:sz w:val="21"/>
          <w:szCs w:val="21"/>
        </w:rPr>
        <w:lastRenderedPageBreak/>
        <w:t xml:space="preserve">Alt. 2 — </w:t>
      </w:r>
      <w:r>
        <w:rPr>
          <w:sz w:val="21"/>
          <w:szCs w:val="21"/>
        </w:rPr>
        <w:t>Sicherheitsfolie höchste Schutzstufe, Foliendicke ≥ 400 µm (Titan-Wall-Klasse), für Hochrisikobereiche (Banken, Juweliere, Apotheken, Botschaften). Leitfabrikat: FolienDock »AnkerDock Titan-Wall I« (ADF-400-INT) oder gleichwertig.</w:t>
      </w:r>
    </w:p>
    <w:p w14:paraId="7EDAA6F5" w14:textId="77777777" w:rsidR="00B35753" w:rsidRDefault="00000000">
      <w:pPr>
        <w:pStyle w:val="Listenabsatz"/>
        <w:numPr>
          <w:ilvl w:val="0"/>
          <w:numId w:val="1"/>
        </w:numPr>
        <w:spacing w:after="40" w:line="260" w:lineRule="auto"/>
      </w:pPr>
      <w:r>
        <w:rPr>
          <w:b/>
          <w:bCs/>
          <w:color w:val="1B263B"/>
          <w:sz w:val="21"/>
          <w:szCs w:val="21"/>
        </w:rPr>
        <w:t xml:space="preserve">Alt. 3 — </w:t>
      </w:r>
      <w:r>
        <w:rPr>
          <w:sz w:val="21"/>
          <w:szCs w:val="21"/>
        </w:rPr>
        <w:t>Sicherheitsfolie höchste Schutzstufe, Foliendicke ≥ 500 µm. Leitfabrikat: FolienDock »AnkerDock Titan-Wall II« (ADF-500-INT) oder gleichwertig.</w:t>
      </w:r>
    </w:p>
    <w:p w14:paraId="25440EE0" w14:textId="77777777" w:rsidR="00B35753" w:rsidRDefault="00B35753">
      <w:pPr>
        <w:spacing w:after="80"/>
      </w:pPr>
    </w:p>
    <w:p w14:paraId="3EFB633E" w14:textId="77777777" w:rsidR="00B35753" w:rsidRDefault="00000000">
      <w:pPr>
        <w:spacing w:before="200" w:after="80"/>
      </w:pPr>
      <w:r>
        <w:rPr>
          <w:b/>
          <w:bCs/>
          <w:color w:val="1B263B"/>
          <w:sz w:val="22"/>
          <w:szCs w:val="22"/>
        </w:rPr>
        <w:t>C – Eignungs- und Bieternachweise (mit dem Angebot vorzulegen)</w:t>
      </w:r>
    </w:p>
    <w:p w14:paraId="4D1B2062" w14:textId="77777777" w:rsidR="00B35753" w:rsidRDefault="00000000">
      <w:pPr>
        <w:pStyle w:val="Listenabsatz"/>
        <w:numPr>
          <w:ilvl w:val="0"/>
          <w:numId w:val="1"/>
        </w:numPr>
        <w:spacing w:after="40" w:line="260" w:lineRule="auto"/>
      </w:pPr>
      <w:r>
        <w:rPr>
          <w:color w:val="222222"/>
          <w:sz w:val="21"/>
          <w:szCs w:val="21"/>
        </w:rPr>
        <w:t>Klassifizierungsnachweis nach DIN EN 356 (P2A bzw. geforderte Klasse) für das angebotene Fabrikat.</w:t>
      </w:r>
    </w:p>
    <w:p w14:paraId="24B627CB" w14:textId="77777777" w:rsidR="00B35753" w:rsidRDefault="00000000">
      <w:pPr>
        <w:pStyle w:val="Listenabsatz"/>
        <w:numPr>
          <w:ilvl w:val="0"/>
          <w:numId w:val="1"/>
        </w:numPr>
        <w:spacing w:after="40" w:line="260" w:lineRule="auto"/>
      </w:pPr>
      <w:r>
        <w:rPr>
          <w:color w:val="222222"/>
          <w:sz w:val="21"/>
          <w:szCs w:val="21"/>
        </w:rPr>
        <w:t>Herstellerdatenblatt mit Foliendicke, Materialaufbau und Gewährleistung.</w:t>
      </w:r>
    </w:p>
    <w:p w14:paraId="7B216891" w14:textId="77777777" w:rsidR="00B35753" w:rsidRDefault="00000000">
      <w:pPr>
        <w:pStyle w:val="Listenabsatz"/>
        <w:numPr>
          <w:ilvl w:val="0"/>
          <w:numId w:val="1"/>
        </w:numPr>
        <w:spacing w:after="40" w:line="260" w:lineRule="auto"/>
      </w:pPr>
      <w:r>
        <w:rPr>
          <w:color w:val="222222"/>
          <w:sz w:val="21"/>
          <w:szCs w:val="21"/>
        </w:rPr>
        <w:t>Nachweis fachgerechter Randversiegelung / Verbundtechnik (Systembeschreibung).</w:t>
      </w:r>
    </w:p>
    <w:p w14:paraId="4BB56A00" w14:textId="77777777" w:rsidR="00B35753" w:rsidRDefault="00000000">
      <w:pPr>
        <w:pStyle w:val="Listenabsatz"/>
        <w:numPr>
          <w:ilvl w:val="0"/>
          <w:numId w:val="1"/>
        </w:numPr>
        <w:spacing w:after="40" w:line="260" w:lineRule="auto"/>
      </w:pPr>
      <w:r>
        <w:rPr>
          <w:color w:val="222222"/>
          <w:sz w:val="21"/>
          <w:szCs w:val="21"/>
        </w:rPr>
        <w:t>Nachweis geschulter, eigener Montageteams sowie mindestens drei Sicherheits-Objektreferenzen.</w:t>
      </w:r>
    </w:p>
    <w:p w14:paraId="09B06E6D" w14:textId="77777777" w:rsidR="00B35753" w:rsidRDefault="00000000">
      <w:r>
        <w:br w:type="page"/>
      </w:r>
    </w:p>
    <w:p w14:paraId="5088F8B4" w14:textId="77777777" w:rsidR="00B35753" w:rsidRDefault="00000000">
      <w:pPr>
        <w:pBdr>
          <w:bottom w:val="single" w:sz="8" w:space="6" w:color="D4AF37"/>
        </w:pBdr>
        <w:spacing w:before="300" w:after="100"/>
      </w:pPr>
      <w:r>
        <w:rPr>
          <w:b/>
          <w:bCs/>
          <w:color w:val="B8860B"/>
          <w:sz w:val="26"/>
          <w:szCs w:val="26"/>
        </w:rPr>
        <w:lastRenderedPageBreak/>
        <w:t xml:space="preserve">Anhang 1  </w:t>
      </w:r>
      <w:r>
        <w:rPr>
          <w:b/>
          <w:bCs/>
          <w:color w:val="1B263B"/>
          <w:sz w:val="26"/>
          <w:szCs w:val="26"/>
        </w:rPr>
        <w:t>Allgemeine Vorbemerkungen zu allen Titeln</w:t>
      </w:r>
    </w:p>
    <w:p w14:paraId="31B9F891" w14:textId="77777777" w:rsidR="00B35753" w:rsidRDefault="00000000">
      <w:pPr>
        <w:spacing w:before="200" w:after="80"/>
      </w:pPr>
      <w:r>
        <w:rPr>
          <w:b/>
          <w:bCs/>
          <w:color w:val="1B263B"/>
          <w:sz w:val="22"/>
          <w:szCs w:val="22"/>
        </w:rPr>
        <w:t>Ausführung &amp; Baustelle</w:t>
      </w:r>
    </w:p>
    <w:p w14:paraId="4681B116" w14:textId="77777777" w:rsidR="00B35753" w:rsidRDefault="00000000">
      <w:pPr>
        <w:pStyle w:val="Listenabsatz"/>
        <w:numPr>
          <w:ilvl w:val="0"/>
          <w:numId w:val="1"/>
        </w:numPr>
        <w:spacing w:after="40" w:line="260" w:lineRule="auto"/>
      </w:pPr>
      <w:r>
        <w:rPr>
          <w:color w:val="222222"/>
          <w:sz w:val="21"/>
          <w:szCs w:val="21"/>
        </w:rPr>
        <w:t>Sämtliche Arbeiten sind im laufenden Betrieb möglich; die Montage erfolgt staub- und geräuscharm ohne Ausbau der Verglasung.</w:t>
      </w:r>
    </w:p>
    <w:p w14:paraId="78736DBC" w14:textId="77777777" w:rsidR="00B35753" w:rsidRDefault="00000000">
      <w:pPr>
        <w:pStyle w:val="Listenabsatz"/>
        <w:numPr>
          <w:ilvl w:val="0"/>
          <w:numId w:val="1"/>
        </w:numPr>
        <w:spacing w:after="40" w:line="260" w:lineRule="auto"/>
      </w:pPr>
      <w:r>
        <w:rPr>
          <w:color w:val="222222"/>
          <w:sz w:val="21"/>
          <w:szCs w:val="21"/>
        </w:rPr>
        <w:t>Vor Applikation ist die Glasverträglichkeit (Thermospannungs-/</w:t>
      </w:r>
      <w:proofErr w:type="spellStart"/>
      <w:r>
        <w:rPr>
          <w:color w:val="222222"/>
          <w:sz w:val="21"/>
          <w:szCs w:val="21"/>
        </w:rPr>
        <w:t>Berstrisiko</w:t>
      </w:r>
      <w:proofErr w:type="spellEnd"/>
      <w:r>
        <w:rPr>
          <w:color w:val="222222"/>
          <w:sz w:val="21"/>
          <w:szCs w:val="21"/>
        </w:rPr>
        <w:t xml:space="preserve"> bei absorbierenden Folien auf Isolier-/ESG-Glas) durch den AN zu bewerten und zu dokumentieren.</w:t>
      </w:r>
    </w:p>
    <w:p w14:paraId="7F45AFD7" w14:textId="77777777" w:rsidR="00B35753" w:rsidRDefault="00000000">
      <w:pPr>
        <w:pStyle w:val="Listenabsatz"/>
        <w:numPr>
          <w:ilvl w:val="0"/>
          <w:numId w:val="1"/>
        </w:numPr>
        <w:spacing w:after="40" w:line="260" w:lineRule="auto"/>
      </w:pPr>
      <w:r>
        <w:rPr>
          <w:color w:val="222222"/>
          <w:sz w:val="21"/>
          <w:szCs w:val="21"/>
        </w:rPr>
        <w:t>Der AN reinigt den Untergrund fachgerecht; die Applikation erfolgt vollflächig blasen- und einschlussfrei mit sauberem Randabschluss.</w:t>
      </w:r>
    </w:p>
    <w:p w14:paraId="2F77D6B3" w14:textId="77777777" w:rsidR="00B35753" w:rsidRDefault="00000000">
      <w:pPr>
        <w:pStyle w:val="Listenabsatz"/>
        <w:numPr>
          <w:ilvl w:val="0"/>
          <w:numId w:val="1"/>
        </w:numPr>
        <w:spacing w:after="40" w:line="260" w:lineRule="auto"/>
      </w:pPr>
      <w:r>
        <w:rPr>
          <w:color w:val="222222"/>
          <w:sz w:val="21"/>
          <w:szCs w:val="21"/>
        </w:rPr>
        <w:t xml:space="preserve">Verschnitt und </w:t>
      </w:r>
      <w:proofErr w:type="spellStart"/>
      <w:r>
        <w:rPr>
          <w:color w:val="222222"/>
          <w:sz w:val="21"/>
          <w:szCs w:val="21"/>
        </w:rPr>
        <w:t>Altfolie</w:t>
      </w:r>
      <w:proofErr w:type="spellEnd"/>
      <w:r>
        <w:rPr>
          <w:color w:val="222222"/>
          <w:sz w:val="21"/>
          <w:szCs w:val="21"/>
        </w:rPr>
        <w:t xml:space="preserve"> sind fachgerecht zu entsorgen; die Arbeitsbereiche sind besenrein zu übergeben.</w:t>
      </w:r>
    </w:p>
    <w:p w14:paraId="237453CA" w14:textId="77777777" w:rsidR="00B35753" w:rsidRDefault="00000000">
      <w:pPr>
        <w:spacing w:before="200" w:after="80"/>
      </w:pPr>
      <w:r>
        <w:rPr>
          <w:b/>
          <w:bCs/>
          <w:color w:val="1B263B"/>
          <w:sz w:val="22"/>
          <w:szCs w:val="22"/>
        </w:rPr>
        <w:t>Aufmaß &amp; Abrechnung</w:t>
      </w:r>
    </w:p>
    <w:p w14:paraId="40BF4027" w14:textId="77777777" w:rsidR="00B35753" w:rsidRDefault="00000000">
      <w:pPr>
        <w:pStyle w:val="Listenabsatz"/>
        <w:numPr>
          <w:ilvl w:val="0"/>
          <w:numId w:val="1"/>
        </w:numPr>
        <w:spacing w:after="40" w:line="260" w:lineRule="auto"/>
      </w:pPr>
      <w:r>
        <w:rPr>
          <w:color w:val="222222"/>
          <w:sz w:val="21"/>
          <w:szCs w:val="21"/>
        </w:rPr>
        <w:t xml:space="preserve">Abrechnung nach tatsächlich folierter Glasfläche in m² (lichtes </w:t>
      </w:r>
      <w:proofErr w:type="spellStart"/>
      <w:r>
        <w:rPr>
          <w:color w:val="222222"/>
          <w:sz w:val="21"/>
          <w:szCs w:val="21"/>
        </w:rPr>
        <w:t>Glasmaß</w:t>
      </w:r>
      <w:proofErr w:type="spellEnd"/>
      <w:r>
        <w:rPr>
          <w:color w:val="222222"/>
          <w:sz w:val="21"/>
          <w:szCs w:val="21"/>
        </w:rPr>
        <w:t xml:space="preserve"> je Feld), Mindermengen je Feld gem. VOB/C.</w:t>
      </w:r>
    </w:p>
    <w:p w14:paraId="040CF4DC" w14:textId="77777777" w:rsidR="00B35753" w:rsidRDefault="00000000">
      <w:pPr>
        <w:pStyle w:val="Listenabsatz"/>
        <w:numPr>
          <w:ilvl w:val="0"/>
          <w:numId w:val="1"/>
        </w:numPr>
        <w:spacing w:after="40" w:line="260" w:lineRule="auto"/>
      </w:pPr>
      <w:r>
        <w:rPr>
          <w:color w:val="222222"/>
          <w:sz w:val="21"/>
          <w:szCs w:val="21"/>
        </w:rPr>
        <w:t>Das Aufmaß ist vor Ausführung durch den AN zu prüfen; erkennbare Abweichungen sind dem AG anzuzeigen.</w:t>
      </w:r>
    </w:p>
    <w:p w14:paraId="001A437D" w14:textId="77777777" w:rsidR="00B35753" w:rsidRDefault="00000000">
      <w:pPr>
        <w:spacing w:before="200" w:after="80"/>
      </w:pPr>
      <w:r>
        <w:rPr>
          <w:b/>
          <w:bCs/>
          <w:color w:val="1B263B"/>
          <w:sz w:val="22"/>
          <w:szCs w:val="22"/>
        </w:rPr>
        <w:t>Gewährleistung &amp; Pflege</w:t>
      </w:r>
    </w:p>
    <w:p w14:paraId="0A9BC24B" w14:textId="77777777" w:rsidR="00B35753" w:rsidRDefault="00000000">
      <w:pPr>
        <w:pStyle w:val="Listenabsatz"/>
        <w:numPr>
          <w:ilvl w:val="0"/>
          <w:numId w:val="1"/>
        </w:numPr>
        <w:spacing w:after="40" w:line="260" w:lineRule="auto"/>
      </w:pPr>
      <w:r>
        <w:rPr>
          <w:color w:val="222222"/>
          <w:sz w:val="21"/>
          <w:szCs w:val="21"/>
        </w:rPr>
        <w:t>Gewährleistung auf Material und Applikation gemäß den in den Titeln genannten Fristen.</w:t>
      </w:r>
    </w:p>
    <w:p w14:paraId="14796D59" w14:textId="77777777" w:rsidR="00B35753" w:rsidRDefault="00000000">
      <w:pPr>
        <w:pStyle w:val="Listenabsatz"/>
        <w:numPr>
          <w:ilvl w:val="0"/>
          <w:numId w:val="1"/>
        </w:numPr>
        <w:spacing w:after="40" w:line="260" w:lineRule="auto"/>
      </w:pPr>
      <w:r>
        <w:rPr>
          <w:color w:val="222222"/>
          <w:sz w:val="21"/>
          <w:szCs w:val="21"/>
        </w:rPr>
        <w:t>Pflegehinweise sind zu übergeben; optional ist ein Werterhalt-/Pflegevertrag (regelmäßige Reinigung, Sichtprüfung, Dokumentation) anzubieten.</w:t>
      </w:r>
    </w:p>
    <w:p w14:paraId="1164B6BC" w14:textId="77777777" w:rsidR="00B35753" w:rsidRDefault="00000000">
      <w:pPr>
        <w:pBdr>
          <w:bottom w:val="single" w:sz="8" w:space="6" w:color="D4AF37"/>
        </w:pBdr>
        <w:spacing w:before="300" w:after="100"/>
      </w:pPr>
      <w:r>
        <w:rPr>
          <w:b/>
          <w:bCs/>
          <w:color w:val="B8860B"/>
          <w:sz w:val="26"/>
          <w:szCs w:val="26"/>
        </w:rPr>
        <w:t xml:space="preserve">Anhang 2  </w:t>
      </w:r>
      <w:r>
        <w:rPr>
          <w:b/>
          <w:bCs/>
          <w:color w:val="1B263B"/>
          <w:sz w:val="26"/>
          <w:szCs w:val="26"/>
        </w:rPr>
        <w:t>Warum FolienDock als Referenzmaßstab</w:t>
      </w:r>
    </w:p>
    <w:p w14:paraId="5FC2F27F" w14:textId="77777777" w:rsidR="00B35753" w:rsidRDefault="00000000">
      <w:pPr>
        <w:spacing w:after="120" w:line="264" w:lineRule="auto"/>
      </w:pPr>
      <w:r>
        <w:rPr>
          <w:color w:val="222222"/>
          <w:sz w:val="21"/>
          <w:szCs w:val="21"/>
        </w:rPr>
        <w:t>Die vorstehenden Anforderungen bilden den nachweisbaren Leistungsstand ab, den FolienDock seit über drei Jahrzehnten liefert. Wer die Positionen erfüllen will, muss genau das belegen können, was für uns Standard ist:</w:t>
      </w:r>
    </w:p>
    <w:p w14:paraId="54DDCA10" w14:textId="77777777" w:rsidR="00B35753" w:rsidRDefault="00000000">
      <w:pPr>
        <w:pStyle w:val="Listenabsatz"/>
        <w:numPr>
          <w:ilvl w:val="0"/>
          <w:numId w:val="1"/>
        </w:numPr>
        <w:spacing w:after="40" w:line="260" w:lineRule="auto"/>
      </w:pPr>
      <w:r>
        <w:rPr>
          <w:color w:val="222222"/>
          <w:sz w:val="21"/>
          <w:szCs w:val="21"/>
        </w:rPr>
        <w:t>Seit 1995 auf Objektfolierung spezialisiert — über 10.000 realisierte Projekte in Hamburg und bundesweit.</w:t>
      </w:r>
    </w:p>
    <w:p w14:paraId="5B9DBAC0" w14:textId="77777777" w:rsidR="00B35753" w:rsidRDefault="00000000">
      <w:pPr>
        <w:pStyle w:val="Listenabsatz"/>
        <w:numPr>
          <w:ilvl w:val="0"/>
          <w:numId w:val="1"/>
        </w:numPr>
        <w:spacing w:after="40" w:line="260" w:lineRule="auto"/>
      </w:pPr>
      <w:r>
        <w:rPr>
          <w:color w:val="222222"/>
          <w:sz w:val="21"/>
          <w:szCs w:val="21"/>
        </w:rPr>
        <w:t>Sensible Referenzobjekte: Schutz in Bundesministerien, Sicherung der Spitzenforschung am DESY Hamburg, Bewahrung von Kulturgut in der Hamburger Kunsthalle.</w:t>
      </w:r>
    </w:p>
    <w:p w14:paraId="4D124A04" w14:textId="77777777" w:rsidR="00B35753" w:rsidRDefault="00000000">
      <w:pPr>
        <w:pStyle w:val="Listenabsatz"/>
        <w:numPr>
          <w:ilvl w:val="0"/>
          <w:numId w:val="1"/>
        </w:numPr>
        <w:spacing w:after="40" w:line="260" w:lineRule="auto"/>
      </w:pPr>
      <w:r>
        <w:rPr>
          <w:color w:val="222222"/>
          <w:sz w:val="21"/>
          <w:szCs w:val="21"/>
        </w:rPr>
        <w:t>Vollständige technische Datenblätter nach DIN EN 410 / ISO 9050 sowie Klassifizierung nach DIN EN 356.</w:t>
      </w:r>
    </w:p>
    <w:p w14:paraId="51AE555E" w14:textId="77777777" w:rsidR="00B35753" w:rsidRDefault="00000000">
      <w:pPr>
        <w:pStyle w:val="Listenabsatz"/>
        <w:numPr>
          <w:ilvl w:val="0"/>
          <w:numId w:val="1"/>
        </w:numPr>
        <w:spacing w:after="40" w:line="260" w:lineRule="auto"/>
      </w:pPr>
      <w:r>
        <w:rPr>
          <w:color w:val="222222"/>
          <w:sz w:val="21"/>
          <w:szCs w:val="21"/>
        </w:rPr>
        <w:t>Eigene, geschulte Montageteams — keine anonyme Subvergabe der Applikation.</w:t>
      </w:r>
    </w:p>
    <w:p w14:paraId="280DCFCA" w14:textId="77777777" w:rsidR="00B35753" w:rsidRDefault="00000000">
      <w:pPr>
        <w:pStyle w:val="Listenabsatz"/>
        <w:numPr>
          <w:ilvl w:val="0"/>
          <w:numId w:val="1"/>
        </w:numPr>
        <w:spacing w:after="40" w:line="260" w:lineRule="auto"/>
      </w:pPr>
      <w:r>
        <w:rPr>
          <w:color w:val="222222"/>
          <w:sz w:val="21"/>
          <w:szCs w:val="21"/>
        </w:rPr>
        <w:t>Thermisches Vor-Prüfprotokoll und dokumentierte Ausführung als Teil der Leistung.</w:t>
      </w:r>
    </w:p>
    <w:p w14:paraId="34E94DA7" w14:textId="77777777" w:rsidR="00B35753" w:rsidRDefault="00B35753">
      <w:pPr>
        <w:spacing w:after="120"/>
      </w:pPr>
    </w:p>
    <w:tbl>
      <w:tblPr>
        <w:tblW w:w="5000" w:type="pct"/>
        <w:tblBorders>
          <w:top w:val="single" w:sz="4" w:space="0" w:color="D4AF37"/>
          <w:left w:val="single" w:sz="18" w:space="0" w:color="D4AF37"/>
          <w:bottom w:val="single" w:sz="4" w:space="0" w:color="D4AF37"/>
          <w:right w:val="single" w:sz="4" w:space="0" w:color="D4AF37"/>
        </w:tblBorders>
        <w:tblCellMar>
          <w:left w:w="10" w:type="dxa"/>
          <w:right w:w="10" w:type="dxa"/>
        </w:tblCellMar>
        <w:tblLook w:val="04A0" w:firstRow="1" w:lastRow="0" w:firstColumn="1" w:lastColumn="0" w:noHBand="0" w:noVBand="1"/>
      </w:tblPr>
      <w:tblGrid>
        <w:gridCol w:w="9678"/>
      </w:tblGrid>
      <w:tr w:rsidR="00B35753" w14:paraId="4D1EFE7B" w14:textId="77777777">
        <w:tblPrEx>
          <w:tblCellMar>
            <w:top w:w="0" w:type="dxa"/>
            <w:bottom w:w="0" w:type="dxa"/>
          </w:tblCellMar>
        </w:tblPrEx>
        <w:tc>
          <w:tcPr>
            <w:tcW w:w="0" w:type="auto"/>
            <w:shd w:val="clear" w:color="auto" w:fill="FBF6E7"/>
            <w:tcMar>
              <w:top w:w="120" w:type="dxa"/>
              <w:left w:w="180" w:type="dxa"/>
              <w:bottom w:w="120" w:type="dxa"/>
              <w:right w:w="180" w:type="dxa"/>
            </w:tcMar>
          </w:tcPr>
          <w:p w14:paraId="7554CE44" w14:textId="77777777" w:rsidR="00B35753" w:rsidRDefault="00000000">
            <w:pPr>
              <w:spacing w:after="120" w:line="264" w:lineRule="auto"/>
            </w:pPr>
            <w:r>
              <w:rPr>
                <w:b/>
                <w:bCs/>
                <w:color w:val="1B263B"/>
                <w:sz w:val="22"/>
                <w:szCs w:val="22"/>
              </w:rPr>
              <w:t xml:space="preserve">Rückfragen zu Positionen, Kennwerten oder Gleichwertigkeit? </w:t>
            </w:r>
          </w:p>
          <w:p w14:paraId="5179F54C" w14:textId="77777777" w:rsidR="00B35753" w:rsidRDefault="00000000">
            <w:pPr>
              <w:spacing w:after="120" w:line="264" w:lineRule="auto"/>
            </w:pPr>
            <w:r>
              <w:rPr>
                <w:sz w:val="21"/>
                <w:szCs w:val="21"/>
              </w:rPr>
              <w:t>FolienDock stellt Planern und Einkäufern die vollständigen Datenblätter, Prüfgrundlagen und Referenzangaben für die Ausschreibung kostenfrei zur Verfügung. So schreiben Sie sauber, prüfbar und rechtssicher aus.</w:t>
            </w:r>
          </w:p>
          <w:p w14:paraId="4EC44258" w14:textId="77777777" w:rsidR="00B35753" w:rsidRDefault="00B35753">
            <w:pPr>
              <w:spacing w:after="30"/>
            </w:pPr>
          </w:p>
          <w:p w14:paraId="5A320CB9" w14:textId="77777777" w:rsidR="00B35753" w:rsidRDefault="00000000">
            <w:pPr>
              <w:spacing w:after="120" w:line="264" w:lineRule="auto"/>
            </w:pPr>
            <w:r>
              <w:rPr>
                <w:b/>
                <w:bCs/>
                <w:color w:val="B8860B"/>
                <w:sz w:val="22"/>
                <w:szCs w:val="22"/>
              </w:rPr>
              <w:t>Tel. 040 6463 2812   ·   moin@foliendock.de   ·   www.foliendock.de</w:t>
            </w:r>
          </w:p>
        </w:tc>
      </w:tr>
    </w:tbl>
    <w:p w14:paraId="39159664" w14:textId="77777777" w:rsidR="00B41034" w:rsidRDefault="00B41034"/>
    <w:sectPr w:rsidR="00B41034">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32356"/>
    <w:multiLevelType w:val="hybridMultilevel"/>
    <w:tmpl w:val="A3AA4440"/>
    <w:lvl w:ilvl="0" w:tplc="DAFEDBF8">
      <w:start w:val="1"/>
      <w:numFmt w:val="bullet"/>
      <w:lvlText w:val="●"/>
      <w:lvlJc w:val="left"/>
      <w:pPr>
        <w:ind w:left="720" w:hanging="360"/>
      </w:pPr>
    </w:lvl>
    <w:lvl w:ilvl="1" w:tplc="49801720">
      <w:start w:val="1"/>
      <w:numFmt w:val="bullet"/>
      <w:lvlText w:val="○"/>
      <w:lvlJc w:val="left"/>
      <w:pPr>
        <w:ind w:left="1440" w:hanging="360"/>
      </w:pPr>
    </w:lvl>
    <w:lvl w:ilvl="2" w:tplc="7472A590">
      <w:start w:val="1"/>
      <w:numFmt w:val="bullet"/>
      <w:lvlText w:val="■"/>
      <w:lvlJc w:val="left"/>
      <w:pPr>
        <w:ind w:left="2160" w:hanging="360"/>
      </w:pPr>
    </w:lvl>
    <w:lvl w:ilvl="3" w:tplc="007A9B14">
      <w:start w:val="1"/>
      <w:numFmt w:val="bullet"/>
      <w:lvlText w:val="●"/>
      <w:lvlJc w:val="left"/>
      <w:pPr>
        <w:ind w:left="2880" w:hanging="360"/>
      </w:pPr>
    </w:lvl>
    <w:lvl w:ilvl="4" w:tplc="FADA261C">
      <w:start w:val="1"/>
      <w:numFmt w:val="bullet"/>
      <w:lvlText w:val="○"/>
      <w:lvlJc w:val="left"/>
      <w:pPr>
        <w:ind w:left="3600" w:hanging="360"/>
      </w:pPr>
    </w:lvl>
    <w:lvl w:ilvl="5" w:tplc="710EC0F4">
      <w:start w:val="1"/>
      <w:numFmt w:val="bullet"/>
      <w:lvlText w:val="■"/>
      <w:lvlJc w:val="left"/>
      <w:pPr>
        <w:ind w:left="4320" w:hanging="360"/>
      </w:pPr>
    </w:lvl>
    <w:lvl w:ilvl="6" w:tplc="09B819C0">
      <w:start w:val="1"/>
      <w:numFmt w:val="bullet"/>
      <w:lvlText w:val="●"/>
      <w:lvlJc w:val="left"/>
      <w:pPr>
        <w:ind w:left="5040" w:hanging="360"/>
      </w:pPr>
    </w:lvl>
    <w:lvl w:ilvl="7" w:tplc="39F4BBBE">
      <w:start w:val="1"/>
      <w:numFmt w:val="bullet"/>
      <w:lvlText w:val="●"/>
      <w:lvlJc w:val="left"/>
      <w:pPr>
        <w:ind w:left="5760" w:hanging="360"/>
      </w:pPr>
    </w:lvl>
    <w:lvl w:ilvl="8" w:tplc="E7E609C8">
      <w:start w:val="1"/>
      <w:numFmt w:val="bullet"/>
      <w:lvlText w:val="●"/>
      <w:lvlJc w:val="left"/>
      <w:pPr>
        <w:ind w:left="6480" w:hanging="360"/>
      </w:pPr>
    </w:lvl>
  </w:abstractNum>
  <w:num w:numId="1" w16cid:durableId="1654389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753"/>
    <w:rsid w:val="00AD5D4B"/>
    <w:rsid w:val="00B35753"/>
    <w:rsid w:val="00B41034"/>
    <w:rsid w:val="00F601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E9D7"/>
  <w15:docId w15:val="{851A69CB-1DC3-4C00-A530-C8F42008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1751</Words>
  <Characters>11034</Characters>
  <Application>Microsoft Office Word</Application>
  <DocSecurity>0</DocSecurity>
  <Lines>91</Lines>
  <Paragraphs>25</Paragraphs>
  <ScaleCrop>false</ScaleCrop>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LV- und Ausschreibungstexte Objektfolierung</dc:title>
  <dc:creator>FolienDock</dc:creator>
  <cp:lastModifiedBy>Oliver Donevski</cp:lastModifiedBy>
  <cp:revision>2</cp:revision>
  <dcterms:created xsi:type="dcterms:W3CDTF">2026-07-24T23:51:00Z</dcterms:created>
  <dcterms:modified xsi:type="dcterms:W3CDTF">2026-07-24T23:51:00Z</dcterms:modified>
</cp:coreProperties>
</file>